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autoSpaceDN/>
        <w:bidi w:val="0"/>
        <w:spacing w:line="570" w:lineRule="exact"/>
        <w:jc w:val="center"/>
        <w:textAlignment w:val="auto"/>
        <w:rPr>
          <w:rFonts w:hint="eastAsia" w:ascii="方正小标宋_GBK" w:hAnsi="方正小标宋_GBK" w:eastAsia="方正小标宋_GBK" w:cs="方正小标宋_GBK"/>
          <w:b w:val="0"/>
          <w:bCs w:val="0"/>
          <w:color w:val="auto"/>
          <w:sz w:val="36"/>
          <w:szCs w:val="36"/>
          <w:highlight w:val="none"/>
        </w:rPr>
      </w:pPr>
      <w:bookmarkStart w:id="18" w:name="_GoBack"/>
      <w:bookmarkEnd w:id="18"/>
      <w:r>
        <w:rPr>
          <w:rFonts w:hint="eastAsia" w:ascii="方正小标宋_GBK" w:hAnsi="方正小标宋_GBK" w:eastAsia="方正小标宋_GBK" w:cs="方正小标宋_GBK"/>
          <w:b w:val="0"/>
          <w:bCs w:val="0"/>
          <w:color w:val="auto"/>
          <w:sz w:val="36"/>
          <w:szCs w:val="36"/>
          <w:highlight w:val="none"/>
          <w:lang w:val="en-US" w:eastAsia="zh-CN"/>
        </w:rPr>
        <w:t>2023年自治区财政优抚对象补助经费</w:t>
      </w:r>
      <w:r>
        <w:rPr>
          <w:rFonts w:hint="eastAsia" w:ascii="方正小标宋_GBK" w:hAnsi="方正小标宋_GBK" w:eastAsia="方正小标宋_GBK" w:cs="方正小标宋_GBK"/>
          <w:b w:val="0"/>
          <w:bCs w:val="0"/>
          <w:color w:val="auto"/>
          <w:sz w:val="36"/>
          <w:szCs w:val="36"/>
          <w:highlight w:val="none"/>
        </w:rPr>
        <w:t>项目</w:t>
      </w:r>
    </w:p>
    <w:p>
      <w:pPr>
        <w:pageBreakBefore w:val="0"/>
        <w:kinsoku/>
        <w:wordWrap/>
        <w:topLinePunct w:val="0"/>
        <w:autoSpaceDE/>
        <w:autoSpaceDN/>
        <w:bidi w:val="0"/>
        <w:spacing w:line="570" w:lineRule="exact"/>
        <w:jc w:val="center"/>
        <w:textAlignment w:val="auto"/>
        <w:rPr>
          <w:rFonts w:hint="eastAsia" w:ascii="方正小标宋_GBK" w:hAnsi="方正小标宋_GBK" w:eastAsia="方正小标宋_GBK" w:cs="方正小标宋_GBK"/>
          <w:b w:val="0"/>
          <w:bCs w:val="0"/>
          <w:color w:val="auto"/>
          <w:sz w:val="36"/>
          <w:szCs w:val="36"/>
          <w:highlight w:val="none"/>
        </w:rPr>
      </w:pPr>
      <w:r>
        <w:rPr>
          <w:rFonts w:hint="eastAsia" w:ascii="方正小标宋_GBK" w:hAnsi="方正小标宋_GBK" w:eastAsia="方正小标宋_GBK" w:cs="方正小标宋_GBK"/>
          <w:b w:val="0"/>
          <w:bCs w:val="0"/>
          <w:color w:val="auto"/>
          <w:sz w:val="36"/>
          <w:szCs w:val="36"/>
          <w:highlight w:val="none"/>
        </w:rPr>
        <w:t>支出绩效评价报告</w:t>
      </w:r>
    </w:p>
    <w:p>
      <w:pPr>
        <w:pStyle w:val="3"/>
        <w:pageBreakBefore w:val="0"/>
        <w:kinsoku/>
        <w:wordWrap/>
        <w:topLinePunct w:val="0"/>
        <w:autoSpaceDE/>
        <w:autoSpaceDN/>
        <w:bidi w:val="0"/>
        <w:spacing w:line="570" w:lineRule="exact"/>
        <w:ind w:firstLine="640"/>
        <w:textAlignment w:val="auto"/>
        <w:rPr>
          <w:rFonts w:hint="eastAsia"/>
          <w:color w:val="auto"/>
          <w:highlight w:val="none"/>
        </w:rPr>
      </w:pPr>
    </w:p>
    <w:p>
      <w:pPr>
        <w:pStyle w:val="3"/>
        <w:pageBreakBefore w:val="0"/>
        <w:kinsoku/>
        <w:wordWrap/>
        <w:topLinePunct w:val="0"/>
        <w:autoSpaceDE/>
        <w:autoSpaceDN/>
        <w:bidi w:val="0"/>
        <w:spacing w:line="570" w:lineRule="exact"/>
        <w:ind w:firstLine="640"/>
        <w:textAlignment w:val="auto"/>
        <w:rPr>
          <w:color w:val="auto"/>
          <w:sz w:val="32"/>
          <w:szCs w:val="32"/>
          <w:highlight w:val="none"/>
        </w:rPr>
      </w:pPr>
      <w:r>
        <w:rPr>
          <w:rFonts w:hint="eastAsia"/>
          <w:color w:val="auto"/>
          <w:sz w:val="32"/>
          <w:szCs w:val="32"/>
          <w:highlight w:val="none"/>
        </w:rPr>
        <w:t>一、基本情况</w:t>
      </w:r>
    </w:p>
    <w:p>
      <w:pPr>
        <w:pStyle w:val="4"/>
        <w:pageBreakBefore w:val="0"/>
        <w:kinsoku/>
        <w:wordWrap/>
        <w:topLinePunct w:val="0"/>
        <w:autoSpaceDE/>
        <w:autoSpaceDN/>
        <w:bidi w:val="0"/>
        <w:spacing w:line="570" w:lineRule="exact"/>
        <w:ind w:firstLine="643"/>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（一）项目概况</w:t>
      </w:r>
    </w:p>
    <w:p>
      <w:pPr>
        <w:pStyle w:val="2"/>
        <w:pageBreakBefore w:val="0"/>
        <w:kinsoku/>
        <w:wordWrap/>
        <w:topLinePunct w:val="0"/>
        <w:autoSpaceDE/>
        <w:autoSpaceDN/>
        <w:bidi w:val="0"/>
        <w:spacing w:line="570" w:lineRule="exact"/>
        <w:ind w:firstLine="562"/>
        <w:textAlignment w:val="auto"/>
        <w:rPr>
          <w:color w:val="auto"/>
          <w:highlight w:val="none"/>
        </w:rPr>
      </w:pPr>
      <w:r>
        <w:rPr>
          <w:rFonts w:hint="eastAsia"/>
          <w:color w:val="auto"/>
          <w:highlight w:val="none"/>
        </w:rPr>
        <w:t>1.项目背景</w:t>
      </w:r>
    </w:p>
    <w:p>
      <w:pPr>
        <w:pageBreakBefore w:val="0"/>
        <w:kinsoku/>
        <w:wordWrap/>
        <w:topLinePunct w:val="0"/>
        <w:autoSpaceDE/>
        <w:autoSpaceDN/>
        <w:bidi w:val="0"/>
        <w:spacing w:line="570" w:lineRule="exact"/>
        <w:ind w:firstLine="560"/>
        <w:textAlignment w:val="auto"/>
        <w:rPr>
          <w:color w:val="auto"/>
          <w:highlight w:val="none"/>
        </w:rPr>
      </w:pPr>
      <w:r>
        <w:rPr>
          <w:rFonts w:hint="eastAsia"/>
          <w:color w:val="auto"/>
          <w:highlight w:val="none"/>
          <w:lang w:eastAsia="zh-CN"/>
        </w:rPr>
        <w:t>为认真落实国家和自治区</w:t>
      </w:r>
      <w:r>
        <w:rPr>
          <w:rFonts w:hint="eastAsia"/>
          <w:color w:val="auto"/>
          <w:highlight w:val="none"/>
          <w:lang w:val="en-US" w:eastAsia="zh-CN"/>
        </w:rPr>
        <w:t>抚恤</w:t>
      </w:r>
      <w:r>
        <w:rPr>
          <w:rFonts w:hint="eastAsia"/>
          <w:color w:val="auto"/>
          <w:highlight w:val="none"/>
          <w:lang w:eastAsia="zh-CN"/>
        </w:rPr>
        <w:t>优抚政策，做好新时代</w:t>
      </w:r>
      <w:r>
        <w:rPr>
          <w:rFonts w:hint="eastAsia"/>
          <w:color w:val="auto"/>
          <w:highlight w:val="none"/>
          <w:lang w:val="en-US" w:eastAsia="zh-CN"/>
        </w:rPr>
        <w:t>自治区</w:t>
      </w:r>
      <w:r>
        <w:rPr>
          <w:rFonts w:hint="eastAsia"/>
          <w:color w:val="auto"/>
          <w:highlight w:val="none"/>
          <w:lang w:eastAsia="zh-CN"/>
        </w:rPr>
        <w:t>优抚对象服务管理工作，</w:t>
      </w:r>
      <w:r>
        <w:rPr>
          <w:rFonts w:hint="eastAsia"/>
          <w:color w:val="auto"/>
          <w:highlight w:val="none"/>
          <w:lang w:val="en-US" w:eastAsia="zh-CN"/>
        </w:rPr>
        <w:t>根据国家部署，不断加大资金投入，有效保障了</w:t>
      </w:r>
      <w:r>
        <w:rPr>
          <w:rFonts w:hint="eastAsia"/>
          <w:color w:val="auto"/>
          <w:highlight w:val="none"/>
          <w:lang w:eastAsia="zh-CN"/>
        </w:rPr>
        <w:t>我县</w:t>
      </w:r>
      <w:r>
        <w:rPr>
          <w:rFonts w:hint="eastAsia"/>
          <w:color w:val="auto"/>
          <w:highlight w:val="none"/>
          <w:lang w:val="en-US" w:eastAsia="zh-CN"/>
        </w:rPr>
        <w:t>各类</w:t>
      </w:r>
      <w:r>
        <w:rPr>
          <w:rFonts w:hint="eastAsia"/>
          <w:color w:val="auto"/>
          <w:highlight w:val="none"/>
          <w:lang w:eastAsia="zh-CN"/>
        </w:rPr>
        <w:t>优抚对象</w:t>
      </w:r>
      <w:r>
        <w:rPr>
          <w:rFonts w:hint="eastAsia"/>
          <w:color w:val="auto"/>
          <w:highlight w:val="none"/>
          <w:lang w:val="en-US" w:eastAsia="zh-CN"/>
        </w:rPr>
        <w:t>生活补助政策得到全面落实，维护了优抚对象的合法权益。</w:t>
      </w:r>
    </w:p>
    <w:p>
      <w:pPr>
        <w:pStyle w:val="2"/>
        <w:pageBreakBefore w:val="0"/>
        <w:kinsoku/>
        <w:wordWrap/>
        <w:topLinePunct w:val="0"/>
        <w:autoSpaceDE/>
        <w:autoSpaceDN/>
        <w:bidi w:val="0"/>
        <w:spacing w:line="570" w:lineRule="exact"/>
        <w:ind w:firstLine="562"/>
        <w:textAlignment w:val="auto"/>
        <w:rPr>
          <w:color w:val="auto"/>
          <w:highlight w:val="none"/>
        </w:rPr>
      </w:pPr>
      <w:r>
        <w:rPr>
          <w:rFonts w:hint="eastAsia"/>
          <w:color w:val="auto"/>
          <w:highlight w:val="none"/>
        </w:rPr>
        <w:t>2.主要内容</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b w:val="0"/>
          <w:bCs w:val="0"/>
          <w:color w:val="auto"/>
          <w:kern w:val="2"/>
          <w:sz w:val="28"/>
          <w:szCs w:val="24"/>
          <w:highlight w:val="none"/>
          <w:lang w:val="en-US" w:eastAsia="zh-CN" w:bidi="ar-SA"/>
        </w:rPr>
      </w:pPr>
      <w:r>
        <w:rPr>
          <w:rFonts w:hint="eastAsia" w:ascii="仿宋_GB2312" w:hAnsi="仿宋_GB2312" w:eastAsia="仿宋_GB2312" w:cs="仿宋_GB2312"/>
          <w:b w:val="0"/>
          <w:bCs w:val="0"/>
          <w:color w:val="auto"/>
          <w:highlight w:val="none"/>
          <w:shd w:val="clear" w:color="auto" w:fill="auto"/>
          <w:lang w:val="en-US" w:eastAsia="zh-CN"/>
        </w:rPr>
        <w:t>项</w:t>
      </w:r>
      <w:r>
        <w:rPr>
          <w:rFonts w:hint="eastAsia" w:ascii="仿宋_GB2312" w:hAnsi="仿宋_GB2312" w:eastAsia="仿宋_GB2312" w:cs="仿宋_GB2312"/>
          <w:b w:val="0"/>
          <w:bCs w:val="0"/>
          <w:color w:val="auto"/>
          <w:kern w:val="2"/>
          <w:sz w:val="28"/>
          <w:szCs w:val="24"/>
          <w:highlight w:val="none"/>
          <w:lang w:val="en-US" w:eastAsia="zh-CN" w:bidi="ar-SA"/>
        </w:rPr>
        <w:t>目名称：2023年自治区财政优抚对象补助经费</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b w:val="0"/>
          <w:bCs w:val="0"/>
          <w:color w:val="auto"/>
          <w:highlight w:val="none"/>
          <w:shd w:val="clear" w:color="auto" w:fill="auto"/>
          <w:lang w:val="en-US" w:eastAsia="zh-CN"/>
        </w:rPr>
        <w:t>项目主要内容：主要用于保障享受抚恤待遇的残疾军人（含伤残人民警察、伤残预备役人员和民兵民工、其他因公伤残人员）、烈属（含因公牺牲军人遗属、病故军人遗属）、在乡退伍红军老战士（含红军失散人员）、在乡复员军人、带病回乡退役军人、参战退役军人、参试退役军人、老烈士子女和农村籍60岁老军人的生活水平不低于当地居民的平均生活水平，解决优抚对象生活难的问题，为我们的优抚对象提供服务和帮助，充分发挥拥军优属的光荣传统。</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.实施情况</w:t>
      </w:r>
    </w:p>
    <w:p>
      <w:pPr>
        <w:pageBreakBefore w:val="0"/>
        <w:kinsoku/>
        <w:wordWrap/>
        <w:topLinePunct w:val="0"/>
        <w:autoSpaceDE/>
        <w:autoSpaceDN/>
        <w:bidi w:val="0"/>
        <w:spacing w:line="570" w:lineRule="exact"/>
        <w:ind w:firstLine="560"/>
        <w:jc w:val="lef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项目</w:t>
      </w:r>
      <w:r>
        <w:rPr>
          <w:rFonts w:hint="eastAsia" w:ascii="仿宋_GB2312" w:hAnsi="仿宋_GB2312" w:eastAsia="仿宋_GB2312" w:cs="仿宋_GB2312"/>
          <w:color w:val="auto"/>
          <w:highlight w:val="none"/>
        </w:rPr>
        <w:t>实施主体：</w:t>
      </w:r>
      <w:r>
        <w:rPr>
          <w:rFonts w:hint="eastAsia" w:ascii="仿宋_GB2312" w:hAnsi="仿宋_GB2312" w:eastAsia="仿宋_GB2312" w:cs="仿宋_GB2312"/>
          <w:color w:val="auto"/>
          <w:highlight w:val="none"/>
          <w:lang w:val="en-US" w:eastAsia="zh-CN"/>
        </w:rPr>
        <w:t>托克逊县退役军人事务局</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rPr>
      </w:pPr>
      <w:r>
        <w:rPr>
          <w:rFonts w:hint="eastAsia" w:ascii="仿宋_GB2312" w:hAnsi="仿宋_GB2312" w:eastAsia="仿宋_GB2312" w:cs="仿宋_GB2312"/>
          <w:b/>
          <w:color w:val="auto"/>
          <w:highlight w:val="none"/>
        </w:rPr>
        <w:t>（1）单位职能</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①</w:t>
      </w:r>
      <w:r>
        <w:rPr>
          <w:rFonts w:hint="eastAsia" w:ascii="仿宋_GB2312" w:hAnsi="仿宋_GB2312" w:eastAsia="仿宋_GB2312" w:cs="仿宋_GB2312"/>
          <w:color w:val="auto"/>
          <w:szCs w:val="28"/>
          <w:highlight w:val="none"/>
          <w:lang w:eastAsia="zh-CN"/>
        </w:rPr>
        <w:t>县退役军人事务局贯彻落实党中央关于退役军人工作的方针政策和决策部署以及自治区党委、市委、县委工作要求，在履行职责过程中坚持和加强党对退役军人工作的集中统一领导。</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②</w:t>
      </w:r>
      <w:r>
        <w:rPr>
          <w:rFonts w:hint="eastAsia" w:ascii="仿宋_GB2312" w:hAnsi="仿宋_GB2312" w:eastAsia="仿宋_GB2312" w:cs="仿宋_GB2312"/>
          <w:color w:val="auto"/>
          <w:szCs w:val="28"/>
          <w:highlight w:val="none"/>
          <w:lang w:eastAsia="zh-CN"/>
        </w:rPr>
        <w:t>组织指导拥军优属工作。负责现役军人、退役军人、军队文职人员和军属优待、抚恤等工作，落实抗战老兵等有关人员优待政策并指导实施。</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8"/>
          <w:highlight w:val="none"/>
        </w:rPr>
        <w:t>③</w:t>
      </w:r>
      <w:r>
        <w:rPr>
          <w:rFonts w:hint="eastAsia" w:ascii="仿宋_GB2312" w:hAnsi="仿宋_GB2312" w:eastAsia="仿宋_GB2312" w:cs="仿宋_GB2312"/>
          <w:color w:val="auto"/>
          <w:szCs w:val="28"/>
          <w:highlight w:val="none"/>
          <w:lang w:eastAsia="zh-CN"/>
        </w:rPr>
        <w:t>组织指导伤残退役军人服务管理和抚恤工作，指导实施落实有关退役军人医疗、疗养等机构的规划政策；承担不适宜继续服役的伤病残军人等相关工作。</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lang w:eastAsia="zh-CN"/>
        </w:rPr>
      </w:pPr>
      <w:r>
        <w:rPr>
          <w:rFonts w:hint="eastAsia" w:ascii="仿宋_GB2312" w:hAnsi="仿宋_GB2312" w:eastAsia="仿宋_GB2312" w:cs="仿宋_GB2312"/>
          <w:b/>
          <w:color w:val="auto"/>
          <w:highlight w:val="none"/>
        </w:rPr>
        <w:t>（2）</w:t>
      </w:r>
      <w:r>
        <w:rPr>
          <w:rFonts w:hint="eastAsia" w:ascii="仿宋_GB2312" w:hAnsi="仿宋_GB2312" w:eastAsia="仿宋_GB2312" w:cs="仿宋_GB2312"/>
          <w:b/>
          <w:color w:val="auto"/>
          <w:highlight w:val="none"/>
          <w:lang w:val="en-US" w:eastAsia="zh-CN"/>
        </w:rPr>
        <w:t>机构设置及</w:t>
      </w:r>
      <w:r>
        <w:rPr>
          <w:rFonts w:hint="eastAsia" w:ascii="仿宋_GB2312" w:hAnsi="仿宋_GB2312" w:eastAsia="仿宋_GB2312" w:cs="仿宋_GB2312"/>
          <w:b/>
          <w:color w:val="auto"/>
          <w:highlight w:val="none"/>
          <w:lang w:eastAsia="zh-CN"/>
        </w:rPr>
        <w:t>人员情况</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szCs w:val="28"/>
          <w:highlight w:val="none"/>
          <w:lang w:eastAsia="zh-CN"/>
        </w:rPr>
        <w:t>托克逊县退役军人事务局</w:t>
      </w:r>
      <w:r>
        <w:rPr>
          <w:rFonts w:hint="eastAsia" w:ascii="仿宋_GB2312" w:hAnsi="仿宋_GB2312" w:eastAsia="仿宋_GB2312" w:cs="仿宋_GB2312"/>
          <w:color w:val="auto"/>
          <w:szCs w:val="28"/>
          <w:highlight w:val="none"/>
          <w:lang w:val="en-US" w:eastAsia="zh-CN"/>
        </w:rPr>
        <w:t>共设有2个科室，主要有：拥军优属权益维护科（移交安置就业创业科）、办公室。</w:t>
      </w:r>
      <w:r>
        <w:rPr>
          <w:rFonts w:hint="eastAsia" w:ascii="仿宋_GB2312" w:hAnsi="仿宋_GB2312" w:eastAsia="仿宋_GB2312" w:cs="仿宋_GB2312"/>
          <w:color w:val="auto"/>
          <w:szCs w:val="28"/>
          <w:highlight w:val="none"/>
          <w:lang w:eastAsia="zh-CN"/>
        </w:rPr>
        <w:t>托克逊县退役军人事务局</w:t>
      </w:r>
      <w:r>
        <w:rPr>
          <w:rFonts w:hint="eastAsia" w:ascii="仿宋_GB2312" w:hAnsi="仿宋_GB2312" w:eastAsia="仿宋_GB2312" w:cs="仿宋_GB2312"/>
          <w:color w:val="auto"/>
          <w:szCs w:val="28"/>
          <w:highlight w:val="none"/>
        </w:rPr>
        <w:t>人员编制数共</w:t>
      </w:r>
      <w:r>
        <w:rPr>
          <w:rFonts w:hint="eastAsia" w:ascii="仿宋_GB2312" w:hAnsi="仿宋_GB2312" w:eastAsia="仿宋_GB2312" w:cs="仿宋_GB2312"/>
          <w:color w:val="auto"/>
          <w:szCs w:val="28"/>
          <w:highlight w:val="none"/>
          <w:lang w:val="en-US" w:eastAsia="zh-CN"/>
        </w:rPr>
        <w:t>8</w:t>
      </w:r>
      <w:r>
        <w:rPr>
          <w:rFonts w:hint="eastAsia" w:ascii="仿宋_GB2312" w:hAnsi="仿宋_GB2312" w:eastAsia="仿宋_GB2312" w:cs="仿宋_GB2312"/>
          <w:color w:val="auto"/>
          <w:szCs w:val="28"/>
          <w:highlight w:val="none"/>
        </w:rPr>
        <w:t>人，年初实有在职人员</w:t>
      </w:r>
      <w:r>
        <w:rPr>
          <w:rFonts w:hint="eastAsia" w:ascii="仿宋_GB2312" w:hAnsi="仿宋_GB2312" w:eastAsia="仿宋_GB2312" w:cs="仿宋_GB2312"/>
          <w:color w:val="auto"/>
          <w:szCs w:val="28"/>
          <w:highlight w:val="none"/>
          <w:lang w:val="en-US" w:eastAsia="zh-CN"/>
        </w:rPr>
        <w:t>7</w:t>
      </w:r>
      <w:r>
        <w:rPr>
          <w:rFonts w:hint="eastAsia" w:ascii="仿宋_GB2312" w:hAnsi="仿宋_GB2312" w:eastAsia="仿宋_GB2312" w:cs="仿宋_GB2312"/>
          <w:color w:val="auto"/>
          <w:szCs w:val="28"/>
          <w:highlight w:val="none"/>
        </w:rPr>
        <w:t>人，退休人员</w:t>
      </w:r>
      <w:r>
        <w:rPr>
          <w:rFonts w:hint="eastAsia" w:ascii="仿宋_GB2312" w:hAnsi="仿宋_GB2312" w:eastAsia="仿宋_GB2312" w:cs="仿宋_GB2312"/>
          <w:color w:val="auto"/>
          <w:szCs w:val="28"/>
          <w:highlight w:val="none"/>
          <w:lang w:val="en-US" w:eastAsia="zh-CN"/>
        </w:rPr>
        <w:t>1</w:t>
      </w:r>
      <w:r>
        <w:rPr>
          <w:rFonts w:hint="eastAsia" w:ascii="仿宋_GB2312" w:hAnsi="仿宋_GB2312" w:eastAsia="仿宋_GB2312" w:cs="仿宋_GB2312"/>
          <w:color w:val="auto"/>
          <w:szCs w:val="28"/>
          <w:highlight w:val="none"/>
        </w:rPr>
        <w:t>人。年末实有在职人数</w:t>
      </w:r>
      <w:r>
        <w:rPr>
          <w:rFonts w:hint="eastAsia" w:ascii="仿宋_GB2312" w:hAnsi="仿宋_GB2312" w:eastAsia="仿宋_GB2312" w:cs="仿宋_GB2312"/>
          <w:color w:val="auto"/>
          <w:szCs w:val="28"/>
          <w:highlight w:val="none"/>
          <w:lang w:val="en-US" w:eastAsia="zh-CN"/>
        </w:rPr>
        <w:t>7</w:t>
      </w:r>
      <w:r>
        <w:rPr>
          <w:rFonts w:hint="eastAsia" w:ascii="仿宋_GB2312" w:hAnsi="仿宋_GB2312" w:eastAsia="仿宋_GB2312" w:cs="仿宋_GB2312"/>
          <w:color w:val="auto"/>
          <w:szCs w:val="28"/>
          <w:highlight w:val="none"/>
        </w:rPr>
        <w:t>人，退休人员</w:t>
      </w:r>
      <w:r>
        <w:rPr>
          <w:rFonts w:hint="eastAsia" w:ascii="仿宋_GB2312" w:hAnsi="仿宋_GB2312" w:eastAsia="仿宋_GB2312" w:cs="仿宋_GB2312"/>
          <w:color w:val="auto"/>
          <w:szCs w:val="28"/>
          <w:highlight w:val="none"/>
          <w:lang w:val="en-US" w:eastAsia="zh-CN"/>
        </w:rPr>
        <w:t>1</w:t>
      </w:r>
      <w:r>
        <w:rPr>
          <w:rFonts w:hint="eastAsia" w:ascii="仿宋_GB2312" w:hAnsi="仿宋_GB2312" w:eastAsia="仿宋_GB2312" w:cs="仿宋_GB2312"/>
          <w:color w:val="auto"/>
          <w:szCs w:val="28"/>
          <w:highlight w:val="none"/>
        </w:rPr>
        <w:t>人。</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实施时间：本项目开始时间为</w:t>
      </w:r>
      <w:r>
        <w:rPr>
          <w:rFonts w:hint="eastAsia" w:ascii="仿宋_GB2312" w:hAnsi="仿宋_GB2312" w:eastAsia="仿宋_GB2312" w:cs="仿宋_GB2312"/>
          <w:b w:val="0"/>
          <w:bCs w:val="0"/>
          <w:color w:val="auto"/>
          <w:highlight w:val="none"/>
          <w:lang w:val="en-US" w:eastAsia="zh-CN"/>
        </w:rPr>
        <w:t>2023年6月-2023年12月</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项目实施情况：</w:t>
      </w:r>
      <w:r>
        <w:rPr>
          <w:rFonts w:hint="eastAsia" w:ascii="仿宋_GB2312" w:hAnsi="仿宋_GB2312" w:eastAsia="仿宋_GB2312" w:cs="仿宋_GB2312"/>
          <w:b w:val="0"/>
          <w:bCs w:val="0"/>
          <w:color w:val="auto"/>
          <w:kern w:val="2"/>
          <w:szCs w:val="24"/>
          <w:highlight w:val="none"/>
          <w:lang w:eastAsia="zh-CN"/>
        </w:rPr>
        <w:t>托克逊县</w:t>
      </w:r>
      <w:r>
        <w:rPr>
          <w:rFonts w:hint="eastAsia" w:ascii="仿宋_GB2312" w:hAnsi="仿宋_GB2312" w:eastAsia="仿宋_GB2312" w:cs="仿宋_GB2312"/>
          <w:b w:val="0"/>
          <w:bCs w:val="0"/>
          <w:color w:val="auto"/>
          <w:kern w:val="2"/>
          <w:szCs w:val="24"/>
          <w:highlight w:val="none"/>
        </w:rPr>
        <w:t>财政拨付我单位202</w:t>
      </w:r>
      <w:r>
        <w:rPr>
          <w:rFonts w:hint="eastAsia" w:ascii="仿宋_GB2312" w:hAnsi="仿宋_GB2312" w:eastAsia="仿宋_GB2312" w:cs="仿宋_GB2312"/>
          <w:b w:val="0"/>
          <w:bCs w:val="0"/>
          <w:color w:val="auto"/>
          <w:kern w:val="2"/>
          <w:szCs w:val="24"/>
          <w:highlight w:val="none"/>
          <w:lang w:val="en-US" w:eastAsia="zh-CN"/>
        </w:rPr>
        <w:t>3</w:t>
      </w:r>
      <w:r>
        <w:rPr>
          <w:rFonts w:hint="eastAsia" w:ascii="仿宋_GB2312" w:hAnsi="仿宋_GB2312" w:eastAsia="仿宋_GB2312" w:cs="仿宋_GB2312"/>
          <w:b w:val="0"/>
          <w:bCs w:val="0"/>
          <w:color w:val="auto"/>
          <w:kern w:val="2"/>
          <w:szCs w:val="24"/>
          <w:highlight w:val="none"/>
        </w:rPr>
        <w:t>年</w:t>
      </w:r>
      <w:r>
        <w:rPr>
          <w:rFonts w:hint="eastAsia" w:ascii="仿宋_GB2312" w:hAnsi="仿宋_GB2312" w:eastAsia="仿宋_GB2312" w:cs="仿宋_GB2312"/>
          <w:b w:val="0"/>
          <w:bCs w:val="0"/>
          <w:color w:val="auto"/>
          <w:kern w:val="2"/>
          <w:szCs w:val="24"/>
          <w:highlight w:val="none"/>
          <w:lang w:val="en-US" w:eastAsia="zh-CN"/>
        </w:rPr>
        <w:t>自治区</w:t>
      </w:r>
      <w:r>
        <w:rPr>
          <w:rFonts w:hint="eastAsia" w:ascii="仿宋_GB2312" w:hAnsi="仿宋_GB2312" w:eastAsia="仿宋_GB2312" w:cs="仿宋_GB2312"/>
          <w:b w:val="0"/>
          <w:bCs w:val="0"/>
          <w:color w:val="auto"/>
          <w:kern w:val="2"/>
          <w:szCs w:val="24"/>
          <w:highlight w:val="none"/>
        </w:rPr>
        <w:t>财政优抚对象补助经费</w:t>
      </w:r>
      <w:r>
        <w:rPr>
          <w:rFonts w:hint="eastAsia" w:ascii="仿宋_GB2312" w:hAnsi="仿宋_GB2312" w:eastAsia="仿宋_GB2312" w:cs="仿宋_GB2312"/>
          <w:b w:val="0"/>
          <w:bCs w:val="0"/>
          <w:color w:val="auto"/>
          <w:kern w:val="2"/>
          <w:szCs w:val="24"/>
          <w:highlight w:val="none"/>
          <w:lang w:val="en-US" w:eastAsia="zh-CN"/>
        </w:rPr>
        <w:t>项目233.45</w:t>
      </w:r>
      <w:r>
        <w:rPr>
          <w:rFonts w:hint="eastAsia" w:ascii="仿宋_GB2312" w:hAnsi="仿宋_GB2312" w:eastAsia="仿宋_GB2312" w:cs="仿宋_GB2312"/>
          <w:b w:val="0"/>
          <w:bCs w:val="0"/>
          <w:color w:val="auto"/>
          <w:kern w:val="2"/>
          <w:szCs w:val="24"/>
          <w:highlight w:val="none"/>
        </w:rPr>
        <w:t>万元。这笔资金主要用于</w:t>
      </w:r>
      <w:r>
        <w:rPr>
          <w:rFonts w:hint="eastAsia" w:ascii="仿宋_GB2312" w:hAnsi="仿宋_GB2312" w:eastAsia="仿宋_GB2312" w:cs="仿宋_GB2312"/>
          <w:b w:val="0"/>
          <w:bCs w:val="0"/>
          <w:color w:val="auto"/>
          <w:kern w:val="2"/>
          <w:szCs w:val="24"/>
          <w:highlight w:val="none"/>
          <w:lang w:eastAsia="zh-CN"/>
        </w:rPr>
        <w:t>优抚对象生活补助</w:t>
      </w:r>
      <w:r>
        <w:rPr>
          <w:rFonts w:hint="eastAsia" w:ascii="仿宋_GB2312" w:hAnsi="仿宋_GB2312" w:eastAsia="仿宋_GB2312" w:cs="仿宋_GB2312"/>
          <w:b w:val="0"/>
          <w:bCs w:val="0"/>
          <w:color w:val="auto"/>
          <w:kern w:val="2"/>
          <w:szCs w:val="24"/>
          <w:highlight w:val="none"/>
        </w:rPr>
        <w:t>等方面。</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.资金投入和使用情况</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rPr>
      </w:pPr>
      <w:r>
        <w:rPr>
          <w:rFonts w:hint="eastAsia" w:ascii="仿宋_GB2312" w:hAnsi="仿宋_GB2312" w:eastAsia="仿宋_GB2312" w:cs="仿宋_GB2312"/>
          <w:b/>
          <w:color w:val="auto"/>
          <w:highlight w:val="none"/>
        </w:rPr>
        <w:t>（1）项目资金安排落实、总投入等情况分析</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本</w:t>
      </w:r>
      <w:r>
        <w:rPr>
          <w:rFonts w:hint="eastAsia" w:ascii="仿宋_GB2312" w:hAnsi="仿宋_GB2312" w:eastAsia="仿宋_GB2312" w:cs="仿宋_GB2312"/>
          <w:color w:val="auto"/>
          <w:highlight w:val="none"/>
        </w:rPr>
        <w:t>项目预算安排总额为</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万元，其中财政资金</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万元，其他资金</w:t>
      </w:r>
      <w:r>
        <w:rPr>
          <w:rFonts w:hint="eastAsia" w:ascii="仿宋_GB2312" w:hAnsi="仿宋_GB2312" w:eastAsia="仿宋_GB2312" w:cs="仿宋_GB2312"/>
          <w:color w:val="auto"/>
          <w:highlight w:val="none"/>
          <w:lang w:val="en-US" w:eastAsia="zh-CN"/>
        </w:rPr>
        <w:t>0</w:t>
      </w:r>
      <w:r>
        <w:rPr>
          <w:rFonts w:hint="eastAsia" w:ascii="仿宋_GB2312" w:hAnsi="仿宋_GB2312" w:eastAsia="仿宋_GB2312" w:cs="仿宋_GB2312"/>
          <w:color w:val="auto"/>
          <w:highlight w:val="none"/>
        </w:rPr>
        <w:t>万元，202</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年实际收到预算资金</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万元，预算资金到位率为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rPr>
      </w:pPr>
      <w:r>
        <w:rPr>
          <w:rFonts w:hint="eastAsia" w:ascii="仿宋_GB2312" w:hAnsi="仿宋_GB2312" w:eastAsia="仿宋_GB2312" w:cs="仿宋_GB2312"/>
          <w:b/>
          <w:color w:val="auto"/>
          <w:highlight w:val="none"/>
        </w:rPr>
        <w:t>（2）</w:t>
      </w:r>
      <w:r>
        <w:rPr>
          <w:rFonts w:hint="eastAsia" w:ascii="仿宋_GB2312" w:hAnsi="仿宋_GB2312" w:eastAsia="仿宋_GB2312" w:cs="仿宋_GB2312"/>
          <w:b/>
          <w:bCs/>
          <w:color w:val="auto"/>
          <w:spacing w:val="-4"/>
          <w:highlight w:val="none"/>
        </w:rPr>
        <w:t>项目资金实际使用情况分析</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lang w:val="en-US" w:eastAsia="zh-CN"/>
        </w:rPr>
        <w:t>截止到2023年12月31日，</w:t>
      </w:r>
      <w:r>
        <w:rPr>
          <w:rFonts w:hint="eastAsia" w:ascii="仿宋_GB2312" w:hAnsi="仿宋_GB2312" w:eastAsia="仿宋_GB2312" w:cs="仿宋_GB2312"/>
          <w:b w:val="0"/>
          <w:bCs w:val="0"/>
          <w:color w:val="auto"/>
          <w:highlight w:val="none"/>
        </w:rPr>
        <w:t>本项目实际支付资金</w:t>
      </w:r>
      <w:r>
        <w:rPr>
          <w:rFonts w:hint="eastAsia" w:ascii="仿宋_GB2312" w:hAnsi="仿宋_GB2312" w:eastAsia="仿宋_GB2312" w:cs="仿宋_GB2312"/>
          <w:b w:val="0"/>
          <w:bCs w:val="0"/>
          <w:color w:val="auto"/>
          <w:highlight w:val="none"/>
          <w:lang w:val="en-US" w:eastAsia="zh-CN"/>
        </w:rPr>
        <w:t>174.63</w:t>
      </w:r>
      <w:r>
        <w:rPr>
          <w:rFonts w:hint="eastAsia" w:ascii="仿宋_GB2312" w:hAnsi="仿宋_GB2312" w:eastAsia="仿宋_GB2312" w:cs="仿宋_GB2312"/>
          <w:b w:val="0"/>
          <w:bCs w:val="0"/>
          <w:color w:val="auto"/>
          <w:highlight w:val="none"/>
        </w:rPr>
        <w:t>万元，预算执行率</w:t>
      </w:r>
      <w:r>
        <w:rPr>
          <w:rFonts w:hint="eastAsia" w:ascii="仿宋_GB2312" w:hAnsi="仿宋_GB2312" w:eastAsia="仿宋_GB2312" w:cs="仿宋_GB2312"/>
          <w:b w:val="0"/>
          <w:bCs w:val="0"/>
          <w:color w:val="auto"/>
          <w:highlight w:val="none"/>
          <w:lang w:val="en-US" w:eastAsia="zh-CN"/>
        </w:rPr>
        <w:t>74.8</w:t>
      </w:r>
      <w:r>
        <w:rPr>
          <w:rFonts w:hint="eastAsia" w:ascii="仿宋_GB2312" w:hAnsi="仿宋_GB2312" w:eastAsia="仿宋_GB2312" w:cs="仿宋_GB2312"/>
          <w:b w:val="0"/>
          <w:bCs w:val="0"/>
          <w:color w:val="auto"/>
          <w:highlight w:val="none"/>
        </w:rPr>
        <w:t>%</w:t>
      </w:r>
      <w:r>
        <w:rPr>
          <w:rFonts w:hint="eastAsia" w:ascii="仿宋_GB2312" w:hAnsi="仿宋_GB2312" w:eastAsia="仿宋_GB2312" w:cs="仿宋_GB2312"/>
          <w:b w:val="0"/>
          <w:bCs w:val="0"/>
          <w:color w:val="auto"/>
          <w:highlight w:val="none"/>
          <w:lang w:eastAsia="zh-CN"/>
        </w:rPr>
        <w:t>，</w:t>
      </w:r>
      <w:r>
        <w:rPr>
          <w:rFonts w:hint="eastAsia" w:ascii="仿宋_GB2312" w:hAnsi="仿宋_GB2312" w:eastAsia="仿宋_GB2312" w:cs="仿宋_GB2312"/>
          <w:b w:val="0"/>
          <w:bCs w:val="0"/>
          <w:color w:val="auto"/>
          <w:highlight w:val="none"/>
          <w:lang w:val="en-US" w:eastAsia="zh-CN"/>
        </w:rPr>
        <w:t>结转资金58.82</w:t>
      </w:r>
      <w:r>
        <w:rPr>
          <w:rFonts w:hint="eastAsia" w:ascii="仿宋_GB2312" w:hAnsi="仿宋_GB2312" w:eastAsia="仿宋_GB2312" w:cs="仿宋_GB2312"/>
          <w:b w:val="0"/>
          <w:bCs w:val="0"/>
          <w:color w:val="auto"/>
          <w:highlight w:val="none"/>
        </w:rPr>
        <w:t>万元</w:t>
      </w:r>
      <w:r>
        <w:rPr>
          <w:rFonts w:hint="eastAsia" w:ascii="仿宋_GB2312" w:hAnsi="仿宋_GB2312" w:eastAsia="仿宋_GB2312" w:cs="仿宋_GB2312"/>
          <w:b w:val="0"/>
          <w:bCs w:val="0"/>
          <w:color w:val="auto"/>
          <w:highlight w:val="none"/>
          <w:lang w:eastAsia="zh-CN"/>
        </w:rPr>
        <w:t>，</w:t>
      </w:r>
      <w:r>
        <w:rPr>
          <w:rFonts w:hint="eastAsia" w:ascii="仿宋_GB2312" w:hAnsi="仿宋_GB2312" w:eastAsia="仿宋_GB2312" w:cs="仿宋_GB2312"/>
          <w:b w:val="0"/>
          <w:bCs w:val="0"/>
          <w:color w:val="auto"/>
          <w:highlight w:val="none"/>
          <w:lang w:val="en-US" w:eastAsia="zh-CN"/>
        </w:rPr>
        <w:t>结余资金0</w:t>
      </w:r>
      <w:r>
        <w:rPr>
          <w:rFonts w:hint="eastAsia" w:ascii="仿宋_GB2312" w:hAnsi="仿宋_GB2312" w:eastAsia="仿宋_GB2312" w:cs="仿宋_GB2312"/>
          <w:b w:val="0"/>
          <w:bCs w:val="0"/>
          <w:color w:val="auto"/>
          <w:highlight w:val="none"/>
        </w:rPr>
        <w:t>万元。项目资金主要用于支付</w:t>
      </w:r>
      <w:r>
        <w:rPr>
          <w:rFonts w:hint="eastAsia" w:ascii="仿宋_GB2312" w:hAnsi="仿宋_GB2312" w:eastAsia="仿宋_GB2312" w:cs="仿宋_GB2312"/>
          <w:b w:val="0"/>
          <w:bCs w:val="0"/>
          <w:color w:val="auto"/>
          <w:highlight w:val="none"/>
          <w:lang w:eastAsia="zh-CN"/>
        </w:rPr>
        <w:t>重点优抚对象生活补助</w:t>
      </w:r>
      <w:r>
        <w:rPr>
          <w:rFonts w:hint="eastAsia" w:ascii="仿宋_GB2312" w:hAnsi="仿宋_GB2312" w:eastAsia="仿宋_GB2312" w:cs="仿宋_GB2312"/>
          <w:b w:val="0"/>
          <w:bCs w:val="0"/>
          <w:color w:val="auto"/>
          <w:highlight w:val="none"/>
        </w:rPr>
        <w:t>。</w:t>
      </w:r>
    </w:p>
    <w:p>
      <w:pPr>
        <w:pStyle w:val="4"/>
        <w:pageBreakBefore w:val="0"/>
        <w:kinsoku/>
        <w:wordWrap/>
        <w:topLinePunct w:val="0"/>
        <w:autoSpaceDE/>
        <w:autoSpaceDN/>
        <w:bidi w:val="0"/>
        <w:spacing w:line="570" w:lineRule="exact"/>
        <w:ind w:firstLine="643"/>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w:t>
      </w:r>
      <w:r>
        <w:rPr>
          <w:rFonts w:hint="eastAsia" w:ascii="楷体_GB2312" w:hAnsi="楷体_GB2312" w:eastAsia="楷体_GB2312" w:cs="楷体_GB2312"/>
          <w:color w:val="auto"/>
          <w:highlight w:val="none"/>
          <w:lang w:val="en-US" w:eastAsia="zh-CN"/>
        </w:rPr>
        <w:t>二</w:t>
      </w:r>
      <w:r>
        <w:rPr>
          <w:rFonts w:hint="eastAsia" w:ascii="楷体_GB2312" w:hAnsi="楷体_GB2312" w:eastAsia="楷体_GB2312" w:cs="楷体_GB2312"/>
          <w:color w:val="auto"/>
          <w:highlight w:val="none"/>
        </w:rPr>
        <w:t>）项目绩效目标</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1.总体目标</w:t>
      </w:r>
    </w:p>
    <w:p>
      <w:pPr>
        <w:keepLines w:val="0"/>
        <w:pageBreakBefore w:val="0"/>
        <w:kinsoku/>
        <w:wordWrap/>
        <w:topLinePunct w:val="0"/>
        <w:autoSpaceDE/>
        <w:autoSpaceDN/>
        <w:bidi w:val="0"/>
        <w:spacing w:line="570" w:lineRule="exact"/>
        <w:ind w:firstLine="567"/>
        <w:jc w:val="both"/>
        <w:textAlignment w:val="auto"/>
        <w:rPr>
          <w:rFonts w:hint="eastAsia" w:ascii="仿宋_GB2312" w:hAnsi="仿宋_GB2312" w:eastAsia="仿宋_GB2312" w:cs="仿宋_GB2312"/>
          <w:b w:val="0"/>
          <w:bCs w:val="0"/>
          <w:color w:val="auto"/>
          <w:highlight w:val="none"/>
          <w:lang w:val="en-US" w:eastAsia="zh-CN"/>
        </w:rPr>
      </w:pPr>
      <w:r>
        <w:rPr>
          <w:rFonts w:hint="eastAsia" w:ascii="仿宋_GB2312" w:hAnsi="仿宋_GB2312" w:eastAsia="仿宋_GB2312" w:cs="仿宋_GB2312"/>
          <w:b w:val="0"/>
          <w:bCs w:val="0"/>
          <w:color w:val="auto"/>
          <w:highlight w:val="none"/>
          <w:lang w:val="en-US" w:eastAsia="zh-CN"/>
        </w:rPr>
        <w:t>本项目绩效总体目标</w:t>
      </w:r>
      <w:r>
        <w:rPr>
          <w:rFonts w:hint="eastAsia" w:ascii="仿宋_GB2312" w:hAnsi="仿宋_GB2312" w:eastAsia="仿宋_GB2312" w:cs="仿宋_GB2312"/>
          <w:b w:val="0"/>
          <w:bCs w:val="0"/>
          <w:color w:val="auto"/>
          <w:highlight w:val="none"/>
          <w:shd w:val="clear" w:color="auto" w:fill="auto"/>
          <w:lang w:val="en-US" w:eastAsia="zh-CN"/>
        </w:rPr>
        <w:t>为：</w:t>
      </w:r>
      <w:r>
        <w:rPr>
          <w:rFonts w:hint="eastAsia" w:ascii="仿宋_GB2312" w:hAnsi="仿宋_GB2312" w:eastAsia="仿宋_GB2312" w:cs="仿宋_GB2312"/>
          <w:b w:val="0"/>
          <w:bCs w:val="0"/>
          <w:color w:val="auto"/>
          <w:highlight w:val="none"/>
          <w:lang w:val="en-US" w:eastAsia="zh-CN"/>
        </w:rPr>
        <w:t>优抚对象补助资金主要用于保障优抚对象的生活水平不低于当地居民的评论生活水平，解决优抚对象生活难的问题，各地州要按标准、按要求及时足额发放这项保障措施，可以促进社会水平，切实维护全区优抚对象的生活权益，为我们的优抚对象提供服务和帮助，充分发挥拥军优属的光荣传统。</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2.阶段性目标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bCs/>
          <w:color w:val="auto"/>
          <w:highlight w:val="none"/>
        </w:rPr>
      </w:pPr>
      <w:r>
        <w:rPr>
          <w:rFonts w:hint="eastAsia" w:ascii="仿宋_GB2312" w:hAnsi="仿宋_GB2312" w:eastAsia="仿宋_GB2312" w:cs="仿宋_GB2312"/>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rFonts w:hint="eastAsia" w:ascii="仿宋_GB2312" w:hAnsi="仿宋_GB2312" w:eastAsia="仿宋_GB2312" w:cs="仿宋_GB2312"/>
          <w:color w:val="auto"/>
          <w:highlight w:val="none"/>
        </w:rPr>
        <w:t>《自治区财政支出绩效评价管理暂行办法》（新财预〔2018〕189号）等文件要求和</w:t>
      </w:r>
      <w:r>
        <w:rPr>
          <w:rFonts w:hint="eastAsia" w:ascii="仿宋_GB2312" w:hAnsi="仿宋_GB2312" w:eastAsia="仿宋_GB2312" w:cs="仿宋_GB2312"/>
          <w:bCs/>
          <w:color w:val="auto"/>
          <w:highlight w:val="none"/>
        </w:rPr>
        <w:t>规定，结合项目实施单位的规章制度以及财务相关资料，评价小组对项目绩效目标进行了进一步的完善，完善后绩效目标如下：</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lang w:val="en-US" w:eastAsia="zh-CN"/>
        </w:rPr>
      </w:pPr>
      <w:r>
        <w:rPr>
          <w:rFonts w:hint="eastAsia" w:ascii="仿宋_GB2312" w:hAnsi="仿宋_GB2312" w:eastAsia="仿宋_GB2312" w:cs="仿宋_GB2312"/>
          <w:b/>
          <w:color w:val="auto"/>
          <w:highlight w:val="none"/>
          <w:lang w:val="en-US" w:eastAsia="zh-CN"/>
        </w:rPr>
        <w:t>（1）项目产出指标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①数量指标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“优抚资金补助发放人数（</w:t>
      </w:r>
      <w:r>
        <w:rPr>
          <w:rFonts w:hint="eastAsia" w:ascii="仿宋_GB2312" w:hAnsi="仿宋_GB2312" w:eastAsia="仿宋_GB2312" w:cs="仿宋_GB2312"/>
          <w:color w:val="auto"/>
          <w:highlight w:val="none"/>
        </w:rPr>
        <w:t>伤残人员、三属、</w:t>
      </w:r>
      <w:r>
        <w:rPr>
          <w:rFonts w:hint="eastAsia" w:ascii="仿宋_GB2312" w:hAnsi="仿宋_GB2312" w:cs="仿宋_GB2312"/>
          <w:color w:val="auto"/>
          <w:highlight w:val="none"/>
          <w:lang w:val="en-US" w:eastAsia="zh-CN"/>
        </w:rPr>
        <w:t>老烈士子女、</w:t>
      </w:r>
      <w:r>
        <w:rPr>
          <w:rFonts w:hint="eastAsia" w:ascii="仿宋_GB2312" w:hAnsi="仿宋_GB2312" w:eastAsia="仿宋_GB2312" w:cs="仿宋_GB2312"/>
          <w:color w:val="auto"/>
          <w:highlight w:val="none"/>
        </w:rPr>
        <w:t>在乡老复员军人、带病回乡退伍军人、参战参试退役人员和60周岁以上农村籍退役士兵</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”指标，预期指标值为</w:t>
      </w:r>
      <w:r>
        <w:rPr>
          <w:rFonts w:hint="eastAsia" w:ascii="仿宋_GB2312" w:hAnsi="仿宋_GB2312" w:eastAsia="仿宋_GB2312" w:cs="仿宋_GB2312"/>
          <w:color w:val="auto"/>
          <w:highlight w:val="none"/>
          <w:lang w:val="en-US" w:eastAsia="zh-CN"/>
        </w:rPr>
        <w:t>236人</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“优抚资金补助发放次数”预期指标值为</w:t>
      </w:r>
      <w:r>
        <w:rPr>
          <w:rFonts w:hint="eastAsia" w:ascii="仿宋_GB2312" w:hAnsi="仿宋_GB2312" w:cs="仿宋_GB2312"/>
          <w:color w:val="auto"/>
          <w:highlight w:val="none"/>
          <w:lang w:val="en-US" w:eastAsia="zh-CN"/>
        </w:rPr>
        <w:t>大于等于</w:t>
      </w:r>
      <w:r>
        <w:rPr>
          <w:rFonts w:hint="eastAsia" w:ascii="仿宋_GB2312" w:hAnsi="仿宋_GB2312" w:eastAsia="仿宋_GB2312" w:cs="仿宋_GB2312"/>
          <w:color w:val="auto"/>
          <w:highlight w:val="none"/>
          <w:lang w:val="en-US" w:eastAsia="zh-CN"/>
        </w:rPr>
        <w:t>8次</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②质量指标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优抚补助待遇政策覆盖率</w:t>
      </w:r>
      <w:r>
        <w:rPr>
          <w:rFonts w:hint="eastAsia" w:ascii="仿宋_GB2312" w:hAnsi="仿宋_GB2312" w:eastAsia="仿宋_GB2312" w:cs="仿宋_GB2312"/>
          <w:color w:val="auto"/>
          <w:highlight w:val="none"/>
        </w:rPr>
        <w:t>”指标，预期指标值为100%；</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优抚资金补助标准按规定执行率</w:t>
      </w:r>
      <w:r>
        <w:rPr>
          <w:rFonts w:hint="eastAsia" w:ascii="仿宋_GB2312" w:hAnsi="仿宋_GB2312" w:eastAsia="仿宋_GB2312" w:cs="仿宋_GB2312"/>
          <w:color w:val="auto"/>
          <w:highlight w:val="none"/>
        </w:rPr>
        <w:t>”指标，预期指标值为100%。</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③</w:t>
      </w:r>
      <w:r>
        <w:rPr>
          <w:rFonts w:hint="eastAsia" w:ascii="仿宋_GB2312" w:hAnsi="仿宋_GB2312" w:eastAsia="仿宋_GB2312" w:cs="仿宋_GB2312"/>
          <w:color w:val="auto"/>
          <w:highlight w:val="none"/>
          <w:lang w:eastAsia="zh-CN"/>
        </w:rPr>
        <w:t>时效</w:t>
      </w:r>
      <w:r>
        <w:rPr>
          <w:rFonts w:hint="eastAsia" w:ascii="仿宋_GB2312" w:hAnsi="仿宋_GB2312" w:eastAsia="仿宋_GB2312" w:cs="仿宋_GB2312"/>
          <w:color w:val="auto"/>
          <w:highlight w:val="none"/>
        </w:rPr>
        <w:t>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优抚资金补助发放及时</w:t>
      </w:r>
      <w:r>
        <w:rPr>
          <w:rFonts w:hint="eastAsia" w:ascii="仿宋_GB2312" w:hAnsi="仿宋_GB2312" w:eastAsia="仿宋_GB2312" w:cs="仿宋_GB2312"/>
          <w:color w:val="auto"/>
          <w:highlight w:val="none"/>
        </w:rPr>
        <w:t>率”指标，预期指标值为100%；</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优抚对象生活补助每月发放日期</w:t>
      </w:r>
      <w:r>
        <w:rPr>
          <w:rFonts w:hint="eastAsia" w:ascii="仿宋_GB2312" w:hAnsi="仿宋_GB2312" w:eastAsia="仿宋_GB2312" w:cs="仿宋_GB2312"/>
          <w:color w:val="auto"/>
          <w:highlight w:val="none"/>
        </w:rPr>
        <w:t>”指标，预期指标值为</w:t>
      </w:r>
      <w:r>
        <w:rPr>
          <w:rFonts w:hint="eastAsia" w:ascii="仿宋_GB2312" w:hAnsi="仿宋_GB2312" w:cs="仿宋_GB2312"/>
          <w:color w:val="auto"/>
          <w:highlight w:val="none"/>
          <w:lang w:eastAsia="zh-CN"/>
        </w:rPr>
        <w:t>小于等于</w:t>
      </w:r>
      <w:r>
        <w:rPr>
          <w:rFonts w:hint="eastAsia" w:ascii="仿宋_GB2312" w:hAnsi="仿宋_GB2312" w:eastAsia="仿宋_GB2312" w:cs="仿宋_GB2312"/>
          <w:color w:val="auto"/>
          <w:highlight w:val="none"/>
          <w:lang w:val="en-US" w:eastAsia="zh-CN"/>
        </w:rPr>
        <w:t>15日</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b/>
          <w:color w:val="auto"/>
          <w:highlight w:val="none"/>
          <w:lang w:val="en-US" w:eastAsia="zh-CN"/>
        </w:rPr>
      </w:pPr>
      <w:r>
        <w:rPr>
          <w:rFonts w:hint="eastAsia" w:ascii="仿宋_GB2312" w:hAnsi="仿宋_GB2312" w:eastAsia="仿宋_GB2312" w:cs="仿宋_GB2312"/>
          <w:b/>
          <w:color w:val="auto"/>
          <w:highlight w:val="none"/>
          <w:lang w:val="en-US" w:eastAsia="zh-CN"/>
        </w:rPr>
        <w:t>（2）项目成本指标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①</w:t>
      </w:r>
      <w:r>
        <w:rPr>
          <w:rFonts w:hint="eastAsia" w:ascii="仿宋_GB2312" w:hAnsi="仿宋_GB2312" w:eastAsia="仿宋_GB2312" w:cs="仿宋_GB2312"/>
          <w:color w:val="auto"/>
          <w:highlight w:val="none"/>
          <w:lang w:val="en-US" w:eastAsia="zh-CN"/>
        </w:rPr>
        <w:t>经济</w:t>
      </w:r>
      <w:r>
        <w:rPr>
          <w:rFonts w:hint="eastAsia" w:ascii="仿宋_GB2312" w:hAnsi="仿宋_GB2312" w:eastAsia="仿宋_GB2312" w:cs="仿宋_GB2312"/>
          <w:color w:val="auto"/>
          <w:highlight w:val="none"/>
        </w:rPr>
        <w:t>成本指标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“优抚对象生活补助人均发放资金”</w:t>
      </w:r>
      <w:r>
        <w:rPr>
          <w:rFonts w:hint="eastAsia" w:ascii="仿宋_GB2312" w:hAnsi="仿宋_GB2312" w:eastAsia="仿宋_GB2312" w:cs="仿宋_GB2312"/>
          <w:color w:val="auto"/>
          <w:highlight w:val="none"/>
        </w:rPr>
        <w:t>指标</w:t>
      </w:r>
      <w:r>
        <w:rPr>
          <w:rFonts w:hint="eastAsia" w:ascii="仿宋_GB2312" w:hAnsi="仿宋_GB2312" w:eastAsia="仿宋_GB2312" w:cs="仿宋_GB2312"/>
          <w:color w:val="auto"/>
          <w:highlight w:val="none"/>
          <w:lang w:val="en-US" w:eastAsia="zh-CN"/>
        </w:rPr>
        <w:t>，</w:t>
      </w:r>
      <w:r>
        <w:rPr>
          <w:rFonts w:hint="eastAsia" w:ascii="仿宋_GB2312" w:hAnsi="仿宋_GB2312" w:eastAsia="仿宋_GB2312" w:cs="仿宋_GB2312"/>
          <w:color w:val="auto"/>
          <w:highlight w:val="none"/>
        </w:rPr>
        <w:t>预期指标值为</w:t>
      </w:r>
      <w:r>
        <w:rPr>
          <w:rFonts w:hint="eastAsia" w:ascii="仿宋_GB2312" w:hAnsi="仿宋_GB2312" w:cs="仿宋_GB2312"/>
          <w:color w:val="auto"/>
          <w:highlight w:val="none"/>
          <w:lang w:eastAsia="zh-CN"/>
        </w:rPr>
        <w:t>小于等于</w:t>
      </w:r>
      <w:r>
        <w:rPr>
          <w:rFonts w:hint="eastAsia" w:ascii="仿宋_GB2312" w:hAnsi="仿宋_GB2312" w:eastAsia="仿宋_GB2312" w:cs="仿宋_GB2312"/>
          <w:color w:val="auto"/>
          <w:highlight w:val="none"/>
          <w:lang w:val="en-US" w:eastAsia="zh-CN"/>
        </w:rPr>
        <w:t>1236.49元/人/月</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val="en-US" w:eastAsia="zh-CN"/>
        </w:rPr>
        <w:t>社会</w:t>
      </w:r>
      <w:r>
        <w:rPr>
          <w:rFonts w:hint="eastAsia" w:ascii="仿宋_GB2312" w:hAnsi="仿宋_GB2312" w:eastAsia="仿宋_GB2312" w:cs="仿宋_GB2312"/>
          <w:color w:val="auto"/>
          <w:highlight w:val="none"/>
        </w:rPr>
        <w:t>成本指标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无</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③</w:t>
      </w:r>
      <w:r>
        <w:rPr>
          <w:rFonts w:hint="eastAsia" w:ascii="仿宋_GB2312" w:hAnsi="仿宋_GB2312" w:eastAsia="仿宋_GB2312" w:cs="仿宋_GB2312"/>
          <w:color w:val="auto"/>
          <w:highlight w:val="none"/>
          <w:lang w:val="en-US" w:eastAsia="zh-CN"/>
        </w:rPr>
        <w:t>生态环境</w:t>
      </w:r>
      <w:r>
        <w:rPr>
          <w:rFonts w:hint="eastAsia" w:ascii="仿宋_GB2312" w:hAnsi="仿宋_GB2312" w:eastAsia="仿宋_GB2312" w:cs="仿宋_GB2312"/>
          <w:color w:val="auto"/>
          <w:highlight w:val="none"/>
        </w:rPr>
        <w:t>成本指标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无</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lang w:val="en-US" w:eastAsia="zh-CN"/>
        </w:rPr>
      </w:pPr>
      <w:r>
        <w:rPr>
          <w:rFonts w:hint="eastAsia" w:ascii="仿宋_GB2312" w:hAnsi="仿宋_GB2312" w:eastAsia="仿宋_GB2312" w:cs="仿宋_GB2312"/>
          <w:b/>
          <w:color w:val="auto"/>
          <w:highlight w:val="none"/>
          <w:lang w:val="en-US" w:eastAsia="zh-CN"/>
        </w:rPr>
        <w:t>（3）项目效益指标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①经济效益指标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w:t>
      </w:r>
      <w:r>
        <w:rPr>
          <w:rFonts w:hint="eastAsia" w:ascii="仿宋_GB2312" w:hAnsi="仿宋_GB2312" w:eastAsia="仿宋_GB2312" w:cs="仿宋_GB2312"/>
          <w:color w:val="auto"/>
          <w:highlight w:val="none"/>
          <w:lang w:eastAsia="zh-CN"/>
        </w:rPr>
        <w:t>提高优抚对象整体年收入</w:t>
      </w:r>
      <w:r>
        <w:rPr>
          <w:rFonts w:hint="eastAsia" w:ascii="仿宋_GB2312" w:hAnsi="仿宋_GB2312" w:eastAsia="仿宋_GB2312" w:cs="仿宋_GB2312"/>
          <w:color w:val="auto"/>
          <w:highlight w:val="none"/>
          <w:lang w:val="en-US" w:eastAsia="zh-CN"/>
        </w:rPr>
        <w:t>”</w:t>
      </w:r>
      <w:r>
        <w:rPr>
          <w:rFonts w:hint="eastAsia" w:ascii="仿宋_GB2312" w:hAnsi="仿宋_GB2312" w:eastAsia="仿宋_GB2312" w:cs="仿宋_GB2312"/>
          <w:color w:val="auto"/>
          <w:highlight w:val="none"/>
        </w:rPr>
        <w:t>预期指标值为</w:t>
      </w:r>
      <w:r>
        <w:rPr>
          <w:rFonts w:hint="eastAsia" w:ascii="仿宋_GB2312" w:hAnsi="仿宋_GB2312" w:cs="仿宋_GB2312"/>
          <w:color w:val="auto"/>
          <w:highlight w:val="none"/>
          <w:lang w:val="en-US" w:eastAsia="zh-CN"/>
        </w:rPr>
        <w:t>大于等于</w:t>
      </w:r>
      <w:r>
        <w:rPr>
          <w:rFonts w:hint="eastAsia" w:ascii="仿宋_GB2312" w:hAnsi="仿宋_GB2312" w:eastAsia="仿宋_GB2312" w:cs="仿宋_GB2312"/>
          <w:color w:val="auto"/>
          <w:highlight w:val="none"/>
          <w:lang w:eastAsia="zh-CN"/>
        </w:rPr>
        <w:t>151万元</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②社会效益指标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“解决优抚对象生活困难问题”指标，预期指标值为</w:t>
      </w:r>
      <w:r>
        <w:rPr>
          <w:rFonts w:hint="eastAsia" w:ascii="仿宋_GB2312" w:hAnsi="仿宋_GB2312" w:eastAsia="仿宋_GB2312" w:cs="仿宋_GB2312"/>
          <w:color w:val="auto"/>
          <w:highlight w:val="none"/>
          <w:lang w:eastAsia="zh-CN"/>
        </w:rPr>
        <w:t>有效解决</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“优抚政策、待遇落实率”指标，预期指标值为</w:t>
      </w:r>
      <w:r>
        <w:rPr>
          <w:rFonts w:hint="eastAsia" w:ascii="仿宋_GB2312" w:hAnsi="仿宋_GB2312" w:eastAsia="仿宋_GB2312" w:cs="仿宋_GB2312"/>
          <w:color w:val="auto"/>
          <w:highlight w:val="none"/>
          <w:lang w:val="en-US" w:eastAsia="zh-CN"/>
        </w:rPr>
        <w:t>95</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③生态效益指标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w:t>
      </w:r>
    </w:p>
    <w:p>
      <w:pPr>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b/>
          <w:color w:val="auto"/>
          <w:highlight w:val="none"/>
          <w:lang w:val="en-US" w:eastAsia="zh-CN"/>
        </w:rPr>
      </w:pPr>
      <w:r>
        <w:rPr>
          <w:rFonts w:hint="eastAsia" w:ascii="仿宋_GB2312" w:hAnsi="仿宋_GB2312" w:eastAsia="仿宋_GB2312" w:cs="仿宋_GB2312"/>
          <w:b/>
          <w:color w:val="auto"/>
          <w:highlight w:val="none"/>
        </w:rPr>
        <w:t>（</w:t>
      </w:r>
      <w:r>
        <w:rPr>
          <w:rFonts w:hint="eastAsia" w:ascii="仿宋_GB2312" w:hAnsi="仿宋_GB2312" w:eastAsia="仿宋_GB2312" w:cs="仿宋_GB2312"/>
          <w:b/>
          <w:color w:val="auto"/>
          <w:highlight w:val="none"/>
          <w:lang w:val="en-US" w:eastAsia="zh-CN"/>
        </w:rPr>
        <w:t>4</w:t>
      </w:r>
      <w:r>
        <w:rPr>
          <w:rFonts w:hint="eastAsia" w:ascii="仿宋_GB2312" w:hAnsi="仿宋_GB2312" w:eastAsia="仿宋_GB2312" w:cs="仿宋_GB2312"/>
          <w:b/>
          <w:color w:val="auto"/>
          <w:highlight w:val="none"/>
        </w:rPr>
        <w:t>）满意度</w:t>
      </w:r>
      <w:r>
        <w:rPr>
          <w:rFonts w:hint="eastAsia" w:ascii="仿宋_GB2312" w:hAnsi="仿宋_GB2312" w:eastAsia="仿宋_GB2312" w:cs="仿宋_GB2312"/>
          <w:b/>
          <w:color w:val="auto"/>
          <w:highlight w:val="none"/>
          <w:lang w:val="en-US" w:eastAsia="zh-CN"/>
        </w:rPr>
        <w:t>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①满意度指标</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“优抚对象政策满意度”指标，预期指标值为95%；</w:t>
      </w:r>
    </w:p>
    <w:p>
      <w:pPr>
        <w:pStyle w:val="3"/>
        <w:pageBreakBefore w:val="0"/>
        <w:kinsoku/>
        <w:wordWrap/>
        <w:topLinePunct w:val="0"/>
        <w:autoSpaceDE/>
        <w:autoSpaceDN/>
        <w:bidi w:val="0"/>
        <w:spacing w:line="570" w:lineRule="exact"/>
        <w:ind w:firstLine="640"/>
        <w:textAlignment w:val="auto"/>
        <w:rPr>
          <w:color w:val="auto"/>
          <w:highlight w:val="none"/>
        </w:rPr>
      </w:pPr>
      <w:r>
        <w:rPr>
          <w:rFonts w:hint="eastAsia"/>
          <w:color w:val="auto"/>
          <w:highlight w:val="none"/>
        </w:rPr>
        <w:t>二、绩效评价工作开展情况</w:t>
      </w:r>
    </w:p>
    <w:p>
      <w:pPr>
        <w:pStyle w:val="4"/>
        <w:pageBreakBefore w:val="0"/>
        <w:numPr>
          <w:ilvl w:val="0"/>
          <w:numId w:val="0"/>
        </w:numPr>
        <w:kinsoku/>
        <w:wordWrap/>
        <w:topLinePunct w:val="0"/>
        <w:autoSpaceDE/>
        <w:autoSpaceDN/>
        <w:bidi w:val="0"/>
        <w:spacing w:line="570" w:lineRule="exact"/>
        <w:ind w:leftChars="200"/>
        <w:textAlignment w:val="auto"/>
        <w:rPr>
          <w:rFonts w:hint="eastAsia" w:ascii="楷体_GB2312" w:hAnsi="楷体_GB2312" w:eastAsia="楷体_GB2312" w:cs="楷体_GB2312"/>
          <w:color w:val="auto"/>
          <w:szCs w:val="32"/>
          <w:highlight w:val="none"/>
        </w:rPr>
      </w:pPr>
      <w:bookmarkStart w:id="0" w:name="_Toc22169_WPSOffice_Level2"/>
      <w:bookmarkStart w:id="1" w:name="_Toc26632"/>
      <w:bookmarkStart w:id="2" w:name="_Toc21664"/>
      <w:bookmarkStart w:id="3" w:name="_Toc5258"/>
      <w:bookmarkStart w:id="4" w:name="_Toc5462343"/>
      <w:bookmarkStart w:id="5" w:name="_Toc12868"/>
      <w:bookmarkStart w:id="6" w:name="_Toc480473081"/>
      <w:bookmarkStart w:id="7" w:name="_Toc22922"/>
      <w:r>
        <w:rPr>
          <w:rFonts w:hint="eastAsia" w:ascii="楷体_GB2312" w:hAnsi="楷体_GB2312" w:eastAsia="楷体_GB2312" w:cs="楷体_GB2312"/>
          <w:color w:val="auto"/>
          <w:szCs w:val="32"/>
          <w:highlight w:val="none"/>
          <w:lang w:eastAsia="zh-CN"/>
        </w:rPr>
        <w:t>（</w:t>
      </w:r>
      <w:r>
        <w:rPr>
          <w:rFonts w:hint="eastAsia" w:ascii="楷体_GB2312" w:hAnsi="楷体_GB2312" w:eastAsia="楷体_GB2312" w:cs="楷体_GB2312"/>
          <w:color w:val="auto"/>
          <w:szCs w:val="32"/>
          <w:highlight w:val="none"/>
          <w:lang w:val="en-US" w:eastAsia="zh-CN"/>
        </w:rPr>
        <w:t>一</w:t>
      </w:r>
      <w:r>
        <w:rPr>
          <w:rFonts w:hint="eastAsia" w:ascii="楷体_GB2312" w:hAnsi="楷体_GB2312" w:eastAsia="楷体_GB2312" w:cs="楷体_GB2312"/>
          <w:color w:val="auto"/>
          <w:szCs w:val="32"/>
          <w:highlight w:val="none"/>
          <w:lang w:eastAsia="zh-CN"/>
        </w:rPr>
        <w:t>）</w:t>
      </w:r>
      <w:r>
        <w:rPr>
          <w:rFonts w:hint="eastAsia" w:ascii="楷体_GB2312" w:hAnsi="楷体_GB2312" w:eastAsia="楷体_GB2312" w:cs="楷体_GB2312"/>
          <w:color w:val="auto"/>
          <w:szCs w:val="32"/>
          <w:highlight w:val="none"/>
        </w:rPr>
        <w:t>绩效评价的目的</w:t>
      </w:r>
      <w:bookmarkEnd w:id="0"/>
      <w:bookmarkEnd w:id="1"/>
      <w:bookmarkEnd w:id="2"/>
      <w:bookmarkEnd w:id="3"/>
      <w:bookmarkEnd w:id="4"/>
      <w:bookmarkEnd w:id="5"/>
      <w:bookmarkEnd w:id="6"/>
      <w:bookmarkEnd w:id="7"/>
      <w:r>
        <w:rPr>
          <w:rFonts w:hint="eastAsia" w:ascii="楷体_GB2312" w:hAnsi="楷体_GB2312" w:eastAsia="楷体_GB2312" w:cs="楷体_GB2312"/>
          <w:color w:val="auto"/>
          <w:szCs w:val="32"/>
          <w:highlight w:val="none"/>
        </w:rPr>
        <w:t>、对象和范围</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1.绩效评价的目的</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为全面实施预算绩效管理，建立科学、合理的项目支出绩效评价管理体系，提高财政资源配置效率和使用效益，根据</w:t>
      </w:r>
      <w:r>
        <w:rPr>
          <w:rFonts w:hint="eastAsia" w:ascii="仿宋_GB2312" w:hAnsi="仿宋_GB2312" w:eastAsia="仿宋_GB2312" w:cs="仿宋_GB2312"/>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ascii="仿宋_GB2312" w:hAnsi="仿宋_GB2312" w:eastAsia="仿宋_GB2312" w:cs="仿宋_GB2312"/>
          <w:color w:val="auto"/>
          <w:highlight w:val="none"/>
          <w:lang w:eastAsia="zh-CN"/>
        </w:rPr>
        <w:t>我</w:t>
      </w:r>
      <w:r>
        <w:rPr>
          <w:rFonts w:hint="eastAsia" w:ascii="仿宋_GB2312" w:hAnsi="仿宋_GB2312" w:eastAsia="仿宋_GB2312" w:cs="仿宋_GB2312"/>
          <w:color w:val="auto"/>
          <w:highlight w:val="none"/>
        </w:rPr>
        <w:t>单位针对</w:t>
      </w:r>
      <w:r>
        <w:rPr>
          <w:rFonts w:hint="eastAsia" w:ascii="仿宋_GB2312" w:hAnsi="仿宋_GB2312" w:eastAsia="仿宋_GB2312" w:cs="仿宋_GB2312"/>
          <w:color w:val="auto"/>
          <w:highlight w:val="none"/>
          <w:lang w:val="en-US" w:eastAsia="zh-CN"/>
        </w:rPr>
        <w:t>该</w:t>
      </w:r>
      <w:r>
        <w:rPr>
          <w:rFonts w:hint="eastAsia" w:ascii="仿宋_GB2312" w:hAnsi="仿宋_GB2312" w:eastAsia="仿宋_GB2312" w:cs="仿宋_GB2312"/>
          <w:color w:val="auto"/>
          <w:highlight w:val="none"/>
        </w:rPr>
        <w:t>项目开展本次部门项目支出绩效评价工作。通过绩效评价，促进本单位发现问题、总结经验、改进工作</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绩效评价</w:t>
      </w:r>
      <w:r>
        <w:rPr>
          <w:rFonts w:hint="eastAsia" w:ascii="仿宋_GB2312" w:hAnsi="仿宋_GB2312" w:eastAsia="仿宋_GB2312" w:cs="仿宋_GB2312"/>
          <w:color w:val="auto"/>
          <w:highlight w:val="none"/>
        </w:rPr>
        <w:t>旨在评价</w:t>
      </w:r>
      <w:r>
        <w:rPr>
          <w:rFonts w:hint="eastAsia" w:ascii="仿宋_GB2312" w:hAnsi="仿宋_GB2312" w:eastAsia="仿宋_GB2312" w:cs="仿宋_GB2312"/>
          <w:color w:val="auto"/>
          <w:highlight w:val="none"/>
          <w:lang w:eastAsia="zh-CN"/>
        </w:rPr>
        <w:t>本</w:t>
      </w:r>
      <w:r>
        <w:rPr>
          <w:rFonts w:hint="eastAsia" w:ascii="仿宋_GB2312" w:hAnsi="仿宋_GB2312" w:eastAsia="仿宋_GB2312" w:cs="仿宋_GB2312"/>
          <w:color w:val="auto"/>
          <w:highlight w:val="none"/>
        </w:rPr>
        <w:t>项目前期审批、实施过程及实施效果，促进预算管理不断完善，加快绩效目标的实现，保证财政资金有效、合理使用，具体绩效评价的目的细分如下：</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提升财政资金的使用效能。</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2.绩效评价对象</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此次我单位根据《财政支出绩效评价管理暂行办法》（财预〔2020〕10号）文件要求实施评价工作，本次评价对象为</w:t>
      </w:r>
      <w:r>
        <w:rPr>
          <w:rFonts w:hint="eastAsia" w:ascii="仿宋_GB2312" w:hAnsi="仿宋_GB2312" w:eastAsia="仿宋_GB2312" w:cs="仿宋_GB2312"/>
          <w:color w:val="auto"/>
          <w:highlight w:val="none"/>
          <w:lang w:val="en-US" w:eastAsia="zh-CN"/>
        </w:rPr>
        <w:t>2023年自治区财政优抚对象补助经费</w:t>
      </w:r>
      <w:r>
        <w:rPr>
          <w:rFonts w:hint="eastAsia" w:ascii="仿宋_GB2312" w:hAnsi="仿宋_GB2312" w:eastAsia="仿宋_GB2312" w:cs="仿宋_GB2312"/>
          <w:color w:val="auto"/>
          <w:highlight w:val="none"/>
        </w:rPr>
        <w:t>，评价核心为项目</w:t>
      </w:r>
      <w:r>
        <w:rPr>
          <w:rFonts w:hint="eastAsia" w:ascii="仿宋_GB2312" w:hAnsi="仿宋_GB2312" w:eastAsia="仿宋_GB2312" w:cs="仿宋_GB2312"/>
          <w:color w:val="auto"/>
          <w:highlight w:val="none"/>
          <w:lang w:val="en-US" w:eastAsia="zh-CN"/>
        </w:rPr>
        <w:t>的资金投入、产出及效益</w:t>
      </w:r>
      <w:r>
        <w:rPr>
          <w:rFonts w:hint="eastAsia" w:ascii="仿宋_GB2312" w:hAnsi="仿宋_GB2312" w:eastAsia="仿宋_GB2312" w:cs="仿宋_GB2312"/>
          <w:color w:val="auto"/>
          <w:highlight w:val="none"/>
        </w:rPr>
        <w:t>。</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3.绩效评价范围</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本次绩效评价主要围绕项目资金使用情况和财务管理状况；使用、处置管理情况；项目管理相关制度及措施是否被认真执行；绩效目标的实现程度（包括是否达到预定产出和效果）等方面进行综合绩效评价。</w:t>
      </w:r>
    </w:p>
    <w:p>
      <w:pPr>
        <w:pStyle w:val="4"/>
        <w:pageBreakBefore w:val="0"/>
        <w:numPr>
          <w:ilvl w:val="0"/>
          <w:numId w:val="0"/>
        </w:numPr>
        <w:kinsoku/>
        <w:wordWrap/>
        <w:topLinePunct w:val="0"/>
        <w:autoSpaceDE/>
        <w:autoSpaceDN/>
        <w:bidi w:val="0"/>
        <w:spacing w:line="570" w:lineRule="exact"/>
        <w:ind w:leftChars="200"/>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lang w:val="en-US" w:eastAsia="zh-CN"/>
        </w:rPr>
        <w:t>二</w:t>
      </w: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rPr>
        <w:t>绩效评价原则、评价指标体系、评价方法评价标准</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1.绩效评价原则</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依据《中华人民共和国预算法》《中共 中央国务院关于全面实施预算绩效管理的意见》（中发〔2018〕34号）《项目支出绩效评价管理办法》（财预〔2020〕10号</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《自治区党委自治区人民政府关于全面实施预算绩效管理的实施意见》（新党发〔2018〕30号）《自治区财政支出绩效评价管理暂行办法》（新财预〔2018〕189号）等要求，绩效评价应遵循如下原则：</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（1）科学公正。绩效评价应当运用科学合理的方法，按照规范的程序，对项目绩效进行客观、公正的反映。</w:t>
      </w:r>
    </w:p>
    <w:p>
      <w:pPr>
        <w:pageBreakBefore w:val="0"/>
        <w:kinsoku/>
        <w:wordWrap/>
        <w:topLinePunct w:val="0"/>
        <w:autoSpaceDE/>
        <w:autoSpaceDN/>
        <w:bidi w:val="0"/>
        <w:snapToGrid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ageBreakBefore w:val="0"/>
        <w:kinsoku/>
        <w:wordWrap/>
        <w:topLinePunct w:val="0"/>
        <w:autoSpaceDE/>
        <w:autoSpaceDN/>
        <w:bidi w:val="0"/>
        <w:snapToGrid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（3）激励约束。绩效评价结果应与预算安排、政策调整、改进管理实质性挂钩，体现奖优罚劣和激励相容导向，有效要安排、低效要压减、无效要问责。</w:t>
      </w:r>
    </w:p>
    <w:p>
      <w:pPr>
        <w:pageBreakBefore w:val="0"/>
        <w:kinsoku/>
        <w:wordWrap/>
        <w:topLinePunct w:val="0"/>
        <w:autoSpaceDE/>
        <w:autoSpaceDN/>
        <w:bidi w:val="0"/>
        <w:snapToGrid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（4）公开透明。绩效评价结果应依法依规公开，并自觉接受社会监督。</w:t>
      </w:r>
    </w:p>
    <w:p>
      <w:pPr>
        <w:pageBreakBefore w:val="0"/>
        <w:kinsoku/>
        <w:wordWrap/>
        <w:topLinePunct w:val="0"/>
        <w:autoSpaceDE/>
        <w:autoSpaceDN/>
        <w:bidi w:val="0"/>
        <w:snapToGrid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根据以上原则</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绩效评价应遵循如下要求:</w:t>
      </w:r>
    </w:p>
    <w:p>
      <w:pPr>
        <w:pageBreakBefore w:val="0"/>
        <w:kinsoku/>
        <w:wordWrap/>
        <w:topLinePunct w:val="0"/>
        <w:autoSpaceDE/>
        <w:autoSpaceDN/>
        <w:bidi w:val="0"/>
        <w:snapToGrid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（1）在数据采集时</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采取客观数据</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主管部门审查、社会中介组织复查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与问卷调查相结合的形式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以保证各项指标的真实性。</w:t>
      </w:r>
    </w:p>
    <w:p>
      <w:pPr>
        <w:pageBreakBefore w:val="0"/>
        <w:kinsoku/>
        <w:wordWrap/>
        <w:topLinePunct w:val="0"/>
        <w:autoSpaceDE/>
        <w:autoSpaceDN/>
        <w:bidi w:val="0"/>
        <w:snapToGrid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（2）保证评价结果的真实性、公正性</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提高评价报告的公信力。</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绩效</w:t>
      </w:r>
      <w:r>
        <w:rPr>
          <w:rFonts w:hint="eastAsia" w:ascii="仿宋_GB2312" w:hAnsi="仿宋_GB2312" w:eastAsia="仿宋_GB2312" w:cs="仿宋_GB2312"/>
          <w:color w:val="auto"/>
          <w:highlight w:val="none"/>
        </w:rPr>
        <w:t>评价报告应当简明扼要</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除了对绩效评价的过程、结果描述外</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还应总结经验</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指出问题</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并就共性问题提出可操作性改进建议。评价工作组本着科学规范、公平公正、绩效相关的原则，采用全面、重点、现场和非现场相结合的方式进行评价。</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bookmarkStart w:id="8" w:name="_Toc26131"/>
      <w:bookmarkStart w:id="9" w:name="_Toc1913"/>
      <w:bookmarkStart w:id="10" w:name="_Toc428278230"/>
      <w:bookmarkStart w:id="11" w:name="_Toc419984722"/>
      <w:r>
        <w:rPr>
          <w:rFonts w:hint="eastAsia" w:ascii="仿宋_GB2312" w:hAnsi="仿宋_GB2312" w:eastAsia="仿宋_GB2312" w:cs="仿宋_GB2312"/>
          <w:color w:val="auto"/>
          <w:highlight w:val="none"/>
        </w:rPr>
        <w:t>2.绩效评价指标体系</w:t>
      </w:r>
      <w:bookmarkEnd w:id="8"/>
      <w:bookmarkEnd w:id="9"/>
      <w:bookmarkEnd w:id="10"/>
      <w:bookmarkEnd w:id="11"/>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我单位</w:t>
      </w:r>
      <w:r>
        <w:rPr>
          <w:rFonts w:hint="eastAsia" w:ascii="仿宋_GB2312" w:hAnsi="仿宋_GB2312" w:eastAsia="仿宋_GB2312" w:cs="仿宋_GB2312"/>
          <w:color w:val="auto"/>
          <w:highlight w:val="none"/>
          <w:lang w:val="zh-TW" w:eastAsia="zh-TW"/>
        </w:rPr>
        <w:t>根据项目的</w:t>
      </w:r>
      <w:r>
        <w:rPr>
          <w:rFonts w:hint="eastAsia" w:ascii="仿宋_GB2312" w:hAnsi="仿宋_GB2312" w:eastAsia="仿宋_GB2312" w:cs="仿宋_GB2312"/>
          <w:color w:val="auto"/>
          <w:highlight w:val="none"/>
        </w:rPr>
        <w:t>实施</w:t>
      </w:r>
      <w:r>
        <w:rPr>
          <w:rFonts w:hint="eastAsia" w:ascii="仿宋_GB2312" w:hAnsi="仿宋_GB2312" w:eastAsia="仿宋_GB2312" w:cs="仿宋_GB2312"/>
          <w:color w:val="auto"/>
          <w:highlight w:val="none"/>
          <w:lang w:val="zh-TW" w:eastAsia="zh-TW"/>
        </w:rPr>
        <w:t>资料研读及前期调研，结合项目的实际开展情况，按照《项目支出绩效评价管理办法》（财预〔2020〕10号）文件要求</w:t>
      </w:r>
      <w:r>
        <w:rPr>
          <w:rFonts w:hint="eastAsia" w:ascii="仿宋_GB2312" w:hAnsi="仿宋_GB2312" w:eastAsia="仿宋_GB2312" w:cs="仿宋_GB2312"/>
          <w:color w:val="auto"/>
          <w:highlight w:val="none"/>
          <w:lang w:val="zh-TW" w:eastAsia="zh-CN"/>
        </w:rPr>
        <w:t>，</w:t>
      </w:r>
      <w:r>
        <w:rPr>
          <w:rFonts w:hint="eastAsia" w:ascii="仿宋_GB2312" w:hAnsi="仿宋_GB2312" w:eastAsia="仿宋_GB2312" w:cs="仿宋_GB2312"/>
          <w:color w:val="auto"/>
          <w:highlight w:val="none"/>
        </w:rPr>
        <w:t>结合项目特点，经与专家组充分协商，设置指标体系结构如下</w:t>
      </w:r>
      <w:r>
        <w:rPr>
          <w:rFonts w:hint="eastAsia" w:ascii="仿宋_GB2312" w:hAnsi="仿宋_GB2312" w:eastAsia="仿宋_GB2312" w:cs="仿宋_GB2312"/>
          <w:color w:val="auto"/>
          <w:highlight w:val="none"/>
          <w:lang w:val="zh-TW" w:eastAsia="zh-TW"/>
        </w:rPr>
        <w:t>：设置一级指标共</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lang w:val="zh-TW" w:eastAsia="zh-TW"/>
        </w:rPr>
        <w:t>个，包括：决策指标（2</w:t>
      </w:r>
      <w:r>
        <w:rPr>
          <w:rFonts w:hint="eastAsia" w:ascii="仿宋_GB2312" w:hAnsi="仿宋_GB2312" w:eastAsia="仿宋_GB2312" w:cs="仿宋_GB2312"/>
          <w:color w:val="auto"/>
          <w:highlight w:val="none"/>
          <w:lang w:val="en-US" w:eastAsia="zh-CN"/>
        </w:rPr>
        <w:t>0分</w:t>
      </w:r>
      <w:r>
        <w:rPr>
          <w:rFonts w:hint="eastAsia" w:ascii="仿宋_GB2312" w:hAnsi="仿宋_GB2312" w:eastAsia="仿宋_GB2312" w:cs="仿宋_GB2312"/>
          <w:color w:val="auto"/>
          <w:highlight w:val="none"/>
          <w:lang w:val="zh-TW" w:eastAsia="zh-TW"/>
        </w:rPr>
        <w:t>）、过程指标（</w:t>
      </w:r>
      <w:r>
        <w:rPr>
          <w:rFonts w:hint="eastAsia" w:ascii="仿宋_GB2312" w:hAnsi="仿宋_GB2312" w:eastAsia="仿宋_GB2312" w:cs="仿宋_GB2312"/>
          <w:color w:val="auto"/>
          <w:highlight w:val="none"/>
          <w:lang w:val="en-US" w:eastAsia="zh-CN"/>
        </w:rPr>
        <w:t>20分</w:t>
      </w:r>
      <w:r>
        <w:rPr>
          <w:rFonts w:hint="eastAsia" w:ascii="仿宋_GB2312" w:hAnsi="仿宋_GB2312" w:eastAsia="仿宋_GB2312" w:cs="仿宋_GB2312"/>
          <w:color w:val="auto"/>
          <w:highlight w:val="none"/>
          <w:lang w:val="zh-TW" w:eastAsia="zh-TW"/>
        </w:rPr>
        <w:t>）、产出指标（</w:t>
      </w:r>
      <w:r>
        <w:rPr>
          <w:rFonts w:hint="eastAsia" w:ascii="仿宋_GB2312" w:hAnsi="仿宋_GB2312" w:eastAsia="仿宋_GB2312" w:cs="仿宋_GB2312"/>
          <w:color w:val="auto"/>
          <w:highlight w:val="none"/>
          <w:lang w:val="en-US" w:eastAsia="zh-CN"/>
        </w:rPr>
        <w:t>24分</w:t>
      </w:r>
      <w:r>
        <w:rPr>
          <w:rFonts w:hint="eastAsia" w:ascii="仿宋_GB2312" w:hAnsi="仿宋_GB2312" w:eastAsia="仿宋_GB2312" w:cs="仿宋_GB2312"/>
          <w:color w:val="auto"/>
          <w:highlight w:val="none"/>
          <w:lang w:val="zh-TW" w:eastAsia="zh-TW"/>
        </w:rPr>
        <w:t>）、</w:t>
      </w:r>
      <w:r>
        <w:rPr>
          <w:rFonts w:hint="eastAsia" w:ascii="仿宋_GB2312" w:hAnsi="仿宋_GB2312" w:eastAsia="仿宋_GB2312" w:cs="仿宋_GB2312"/>
          <w:color w:val="auto"/>
          <w:highlight w:val="none"/>
          <w:lang w:val="en-US" w:eastAsia="zh-CN"/>
        </w:rPr>
        <w:t>成本指标（12分）、</w:t>
      </w:r>
      <w:r>
        <w:rPr>
          <w:rFonts w:hint="eastAsia" w:ascii="仿宋_GB2312" w:hAnsi="仿宋_GB2312" w:eastAsia="仿宋_GB2312" w:cs="仿宋_GB2312"/>
          <w:color w:val="auto"/>
          <w:highlight w:val="none"/>
          <w:lang w:val="zh-TW" w:eastAsia="zh-TW"/>
        </w:rPr>
        <w:t>效益指标（</w:t>
      </w:r>
      <w:r>
        <w:rPr>
          <w:rFonts w:hint="eastAsia" w:ascii="仿宋_GB2312" w:hAnsi="仿宋_GB2312" w:eastAsia="仿宋_GB2312" w:cs="仿宋_GB2312"/>
          <w:color w:val="auto"/>
          <w:highlight w:val="none"/>
          <w:lang w:val="en-US" w:eastAsia="zh-CN"/>
        </w:rPr>
        <w:t>24分</w:t>
      </w:r>
      <w:r>
        <w:rPr>
          <w:rFonts w:hint="eastAsia" w:ascii="仿宋_GB2312" w:hAnsi="仿宋_GB2312" w:eastAsia="仿宋_GB2312" w:cs="仿宋_GB2312"/>
          <w:color w:val="auto"/>
          <w:highlight w:val="none"/>
          <w:lang w:val="zh-TW" w:eastAsia="zh-TW"/>
        </w:rPr>
        <w:t>）</w:t>
      </w:r>
      <w:r>
        <w:rPr>
          <w:rFonts w:hint="eastAsia" w:ascii="仿宋_GB2312" w:hAnsi="仿宋_GB2312" w:eastAsia="仿宋_GB2312" w:cs="仿宋_GB2312"/>
          <w:color w:val="auto"/>
          <w:highlight w:val="none"/>
          <w:lang w:val="zh-TW" w:eastAsia="zh-CN"/>
        </w:rPr>
        <w:t>，</w:t>
      </w:r>
      <w:r>
        <w:rPr>
          <w:rFonts w:hint="eastAsia" w:ascii="仿宋_GB2312" w:hAnsi="仿宋_GB2312" w:eastAsia="仿宋_GB2312" w:cs="仿宋_GB2312"/>
          <w:color w:val="auto"/>
          <w:highlight w:val="none"/>
        </w:rPr>
        <w:t>主要围绕资金使用、项目管理、资源配置等方面，客观分析项目的产出</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效果，从而考察项目预算定额标准的合理性，进而提出完善意见。整个评价框架构成体现从投入、过程到产出、效果和影响的绩效逻辑路径。详细指标体系见“附件</w:t>
      </w:r>
      <w:r>
        <w:rPr>
          <w:rFonts w:hint="eastAsia"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rPr>
        <w:t>：项目支出绩效评价</w:t>
      </w:r>
      <w:r>
        <w:rPr>
          <w:rFonts w:hint="eastAsia" w:ascii="仿宋_GB2312" w:hAnsi="仿宋_GB2312" w:eastAsia="仿宋_GB2312" w:cs="仿宋_GB2312"/>
          <w:color w:val="auto"/>
          <w:highlight w:val="none"/>
          <w:lang w:val="en-US" w:eastAsia="zh-CN"/>
        </w:rPr>
        <w:t>指标</w:t>
      </w:r>
      <w:r>
        <w:rPr>
          <w:rFonts w:hint="eastAsia" w:ascii="仿宋_GB2312" w:hAnsi="仿宋_GB2312" w:eastAsia="仿宋_GB2312" w:cs="仿宋_GB2312"/>
          <w:color w:val="auto"/>
          <w:highlight w:val="none"/>
        </w:rPr>
        <w:t>体系</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和项目综合得分表”。</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3.评价方法</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三级指标分析环节：总体采用比较法，同时辅以文献法、成本效益法、因素分析法以及公众评判法，根据不同三级指标类型进行逐项分析。</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ascii="仿宋_GB2312" w:hAnsi="仿宋_GB2312" w:eastAsia="仿宋_GB2312" w:cs="仿宋_GB2312"/>
          <w:color w:val="auto"/>
          <w:highlight w:val="none"/>
          <w:lang w:val="en-US" w:eastAsia="zh-CN"/>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rPr>
        <w:t>立项依据充分性</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比较法、文献法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查找法律法规政策以及规划，对比实际执行内容和政策支持内容是否匹配。</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绩效目标合理性：比较法，对比分析年初编制项目支出绩效目标表与项目内容的相关性、资金的匹配性等。</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绩效指标明确性：比较法，比较分析年初编制项目支出绩效目标表是否符合双七原则，是否可衡量。</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预算编制科学性：成本效益分析法，分析在产出一定的情况下，成本取值是否有依据，是否经过询价，是否按照市场最低成本编制。</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资金分配合理性：因素分析法，综合分析资金的分配依据是否充分，分配金额是否与项目实施单位需求金额一致，</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资金到位率：比较法，资金到位率预期指标值应为100%，通过实际计算，分析实际完成值和预期指标值之间的差距和原因。</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预算执行率：比较法，预算执行率预期指标值应为100%，通过实际计算，分析实际完成值和预期指标值之间的差距和原因。</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制度执行有效性：比较法，结合项目实际实施过程性文件，根据已建设的财务管理制度和项目管理制度综合分析制度执行的有效性。</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定性指标：公众评判法，通过问卷及抽样调查等方式评价本项目实施后社会公众对于其实施效果的满意程度。</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4.评价标准</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numPr>
          <w:ilvl w:val="0"/>
          <w:numId w:val="0"/>
        </w:numPr>
        <w:kinsoku/>
        <w:wordWrap/>
        <w:topLinePunct w:val="0"/>
        <w:autoSpaceDE/>
        <w:autoSpaceDN/>
        <w:bidi w:val="0"/>
        <w:spacing w:line="570" w:lineRule="exact"/>
        <w:ind w:leftChars="200"/>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lang w:val="en-US" w:eastAsia="zh-CN"/>
        </w:rPr>
        <w:t>三</w:t>
      </w: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rPr>
        <w:t>绩效评价工作过程</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1.前期准备</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zh-TW" w:eastAsia="zh-TW"/>
        </w:rPr>
      </w:pPr>
      <w:r>
        <w:rPr>
          <w:rFonts w:hint="eastAsia" w:ascii="仿宋_GB2312" w:hAnsi="仿宋_GB2312" w:eastAsia="仿宋_GB2312" w:cs="仿宋_GB2312"/>
          <w:color w:val="auto"/>
          <w:highlight w:val="none"/>
          <w:lang w:val="en-US" w:eastAsia="zh-CN"/>
        </w:rPr>
        <w:t>为确保该项目绩效评价的顺利实施，本次评价成立了绩效评价项目小组，主要负责建立联络制度、明确评价责任人、制定评价方案、实施具体评价等工作。2024年2月26日，绩效评价项目小组成员对本项目开展前期调研。通过前期调研，确定了评价的目的、方法以及评价的原则，根据项目的内容和特征制定了评价指标体系及评价标准。绩效评价小组成员和职责如下：</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（1）评价组组长：吾斯曼·海力力，</w:t>
      </w:r>
      <w:r>
        <w:rPr>
          <w:rFonts w:hint="eastAsia" w:ascii="仿宋_GB2312" w:hAnsi="仿宋_GB2312" w:eastAsia="仿宋_GB2312" w:cs="仿宋_GB2312"/>
          <w:color w:val="auto"/>
          <w:highlight w:val="none"/>
        </w:rPr>
        <w:t>主要负责</w:t>
      </w:r>
      <w:r>
        <w:rPr>
          <w:rFonts w:hint="eastAsia" w:ascii="仿宋_GB2312" w:hAnsi="仿宋_GB2312" w:eastAsia="仿宋_GB2312" w:cs="仿宋_GB2312"/>
          <w:color w:val="auto"/>
          <w:highlight w:val="none"/>
          <w:lang w:val="en-US" w:eastAsia="zh-CN"/>
        </w:rPr>
        <w:t>确定绩效评价</w:t>
      </w:r>
      <w:r>
        <w:rPr>
          <w:rFonts w:hint="eastAsia" w:ascii="仿宋_GB2312" w:hAnsi="仿宋_GB2312" w:eastAsia="仿宋_GB2312" w:cs="仿宋_GB2312"/>
          <w:color w:val="auto"/>
          <w:highlight w:val="none"/>
          <w:lang w:val="en-US" w:eastAsia="zh-Hans"/>
        </w:rPr>
        <w:t>模</w:t>
      </w:r>
      <w:r>
        <w:rPr>
          <w:rFonts w:hint="eastAsia" w:ascii="仿宋_GB2312" w:hAnsi="仿宋_GB2312" w:eastAsia="仿宋_GB2312" w:cs="仿宋_GB2312"/>
          <w:color w:val="auto"/>
          <w:highlight w:val="none"/>
          <w:lang w:val="en-US" w:eastAsia="zh-CN"/>
        </w:rPr>
        <w:t>板</w:t>
      </w:r>
      <w:r>
        <w:rPr>
          <w:rFonts w:hint="eastAsia" w:ascii="仿宋_GB2312" w:hAnsi="仿宋_GB2312" w:eastAsia="仿宋_GB2312" w:cs="仿宋_GB2312"/>
          <w:color w:val="auto"/>
          <w:highlight w:val="none"/>
        </w:rPr>
        <w:t>、总体协调沟通、全盘统筹、</w:t>
      </w:r>
      <w:r>
        <w:rPr>
          <w:rFonts w:hint="eastAsia" w:ascii="仿宋_GB2312" w:hAnsi="仿宋_GB2312" w:eastAsia="仿宋_GB2312" w:cs="仿宋_GB2312"/>
          <w:color w:val="auto"/>
          <w:highlight w:val="none"/>
          <w:lang w:val="en-US" w:eastAsia="zh-CN"/>
        </w:rPr>
        <w:t>总体</w:t>
      </w:r>
      <w:r>
        <w:rPr>
          <w:rFonts w:hint="eastAsia" w:ascii="仿宋_GB2312" w:hAnsi="仿宋_GB2312" w:eastAsia="仿宋_GB2312" w:cs="仿宋_GB2312"/>
          <w:color w:val="auto"/>
          <w:highlight w:val="none"/>
        </w:rPr>
        <w:t>质量把关等工作</w:t>
      </w:r>
      <w:r>
        <w:rPr>
          <w:rFonts w:hint="eastAsia" w:ascii="仿宋_GB2312" w:hAnsi="仿宋_GB2312" w:eastAsia="仿宋_GB2312" w:cs="仿宋_GB2312"/>
          <w:color w:val="auto"/>
          <w:highlight w:val="none"/>
          <w:lang w:val="en-US" w:eastAsia="zh-CN"/>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（2）评价组成员：阿丽亚·阿不地热合曼，</w:t>
      </w:r>
      <w:r>
        <w:rPr>
          <w:rFonts w:hint="eastAsia" w:ascii="仿宋_GB2312" w:hAnsi="仿宋_GB2312" w:eastAsia="仿宋_GB2312" w:cs="仿宋_GB2312"/>
          <w:color w:val="auto"/>
          <w:highlight w:val="none"/>
        </w:rPr>
        <w:t>主要负责绩效评价现场督导，对评价组成员的评价检查工作提供技术指导与支持，对实效评价工作质量把关</w:t>
      </w:r>
      <w:r>
        <w:rPr>
          <w:rFonts w:hint="eastAsia" w:ascii="仿宋_GB2312" w:hAnsi="仿宋_GB2312" w:eastAsia="仿宋_GB2312" w:cs="仿宋_GB2312"/>
          <w:color w:val="auto"/>
          <w:highlight w:val="none"/>
          <w:lang w:val="en-US" w:eastAsia="zh-CN"/>
        </w:rPr>
        <w:t>。</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（3）评价组成员：古再力努尔·艾合买提，</w:t>
      </w:r>
      <w:r>
        <w:rPr>
          <w:rFonts w:hint="eastAsia" w:ascii="仿宋_GB2312" w:hAnsi="仿宋_GB2312" w:eastAsia="仿宋_GB2312" w:cs="仿宋_GB2312"/>
          <w:color w:val="auto"/>
          <w:highlight w:val="none"/>
        </w:rPr>
        <w:t>主要负责现场调研工作，完成收集整理资料、审核数据、填报绩效评价内容等工作</w:t>
      </w:r>
      <w:r>
        <w:rPr>
          <w:rFonts w:hint="eastAsia" w:ascii="仿宋_GB2312" w:hAnsi="仿宋_GB2312" w:eastAsia="仿宋_GB2312" w:cs="仿宋_GB2312"/>
          <w:color w:val="auto"/>
          <w:highlight w:val="none"/>
          <w:lang w:val="en-US" w:eastAsia="zh-CN"/>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2.组织实施</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eastAsia="zh-CN"/>
        </w:rPr>
        <w:t>年</w:t>
      </w: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lang w:eastAsia="zh-CN"/>
        </w:rPr>
        <w:t>月</w:t>
      </w:r>
      <w:r>
        <w:rPr>
          <w:rFonts w:hint="eastAsia" w:ascii="仿宋_GB2312" w:hAnsi="仿宋_GB2312" w:eastAsia="仿宋_GB2312" w:cs="仿宋_GB2312"/>
          <w:color w:val="auto"/>
          <w:highlight w:val="none"/>
          <w:lang w:val="en-US" w:eastAsia="zh-CN"/>
        </w:rPr>
        <w:t>28</w:t>
      </w:r>
      <w:r>
        <w:rPr>
          <w:rFonts w:hint="eastAsia" w:ascii="仿宋_GB2312" w:hAnsi="仿宋_GB2312" w:eastAsia="仿宋_GB2312" w:cs="仿宋_GB2312"/>
          <w:color w:val="auto"/>
          <w:highlight w:val="none"/>
          <w:lang w:eastAsia="zh-CN"/>
        </w:rPr>
        <w:t>日-</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lang w:eastAsia="zh-CN"/>
        </w:rPr>
        <w:t>月</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lang w:eastAsia="zh-CN"/>
        </w:rPr>
        <w:t>日，评价工作进入实施阶段。</w:t>
      </w:r>
      <w:r>
        <w:rPr>
          <w:rFonts w:hint="eastAsia" w:ascii="仿宋_GB2312" w:hAnsi="仿宋_GB2312" w:eastAsia="仿宋_GB2312" w:cs="仿宋_GB2312"/>
          <w:color w:val="auto"/>
          <w:highlight w:val="none"/>
        </w:rPr>
        <w:t>经评价组通过</w:t>
      </w:r>
      <w:r>
        <w:rPr>
          <w:rFonts w:hint="eastAsia" w:ascii="仿宋_GB2312" w:hAnsi="仿宋_GB2312" w:eastAsia="仿宋_GB2312" w:cs="仿宋_GB2312"/>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ascii="仿宋_GB2312" w:hAnsi="仿宋_GB2312" w:eastAsia="仿宋_GB2312" w:cs="仿宋_GB2312"/>
          <w:color w:val="auto"/>
          <w:highlight w:val="none"/>
        </w:rPr>
        <w:t>采用综合分析法对项目的决策、管理、绩效进行的综合评价分析。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3.分析评价和撰写报告</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（1）综合分析评价</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eastAsia="zh-CN"/>
        </w:rPr>
        <w:t>年</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lang w:eastAsia="zh-CN"/>
        </w:rPr>
        <w:t>月</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eastAsia="zh-CN"/>
        </w:rPr>
        <w:t>日-</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lang w:eastAsia="zh-CN"/>
        </w:rPr>
        <w:t>月</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ascii="仿宋_GB2312" w:hAnsi="仿宋_GB2312" w:eastAsia="仿宋_GB2312" w:cs="仿宋_GB2312"/>
          <w:color w:val="auto"/>
          <w:highlight w:val="none"/>
        </w:rPr>
        <w:t>首先按照指标体系进行定量、定性分析。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（2）撰写报告</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202</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eastAsia="zh-CN"/>
        </w:rPr>
        <w:t>年</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月</w:t>
      </w:r>
      <w:r>
        <w:rPr>
          <w:rFonts w:hint="eastAsia" w:ascii="仿宋_GB2312" w:hAnsi="仿宋_GB2312" w:eastAsia="仿宋_GB2312" w:cs="仿宋_GB2312"/>
          <w:color w:val="auto"/>
          <w:highlight w:val="none"/>
          <w:lang w:val="en-US" w:eastAsia="zh-CN"/>
        </w:rPr>
        <w:t>12</w:t>
      </w:r>
      <w:r>
        <w:rPr>
          <w:rFonts w:hint="eastAsia" w:ascii="仿宋_GB2312" w:hAnsi="仿宋_GB2312" w:eastAsia="仿宋_GB2312" w:cs="仿宋_GB2312"/>
          <w:color w:val="auto"/>
          <w:highlight w:val="none"/>
        </w:rPr>
        <w:t>日-</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月</w:t>
      </w:r>
      <w:r>
        <w:rPr>
          <w:rFonts w:hint="eastAsia" w:ascii="仿宋_GB2312" w:hAnsi="仿宋_GB2312" w:eastAsia="仿宋_GB2312" w:cs="仿宋_GB2312"/>
          <w:color w:val="auto"/>
          <w:highlight w:val="none"/>
          <w:lang w:val="en-US" w:eastAsia="zh-CN"/>
        </w:rPr>
        <w:t>15</w:t>
      </w:r>
      <w:r>
        <w:rPr>
          <w:rFonts w:hint="eastAsia" w:ascii="仿宋_GB2312" w:hAnsi="仿宋_GB2312" w:eastAsia="仿宋_GB2312" w:cs="仿宋_GB2312"/>
          <w:color w:val="auto"/>
          <w:highlight w:val="none"/>
        </w:rPr>
        <w:t>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绩效评价项目小组依照整理、分析后的项目材料、数据资料，依据评价形成的初步结论，按照绩效系统中统一的格式和内容要求撰写绩效评价初步报告，最终形成评价结果。</w:t>
      </w:r>
    </w:p>
    <w:p>
      <w:pPr>
        <w:pStyle w:val="2"/>
        <w:pageBreakBefore w:val="0"/>
        <w:kinsoku/>
        <w:wordWrap/>
        <w:topLinePunct w:val="0"/>
        <w:autoSpaceDE/>
        <w:autoSpaceDN/>
        <w:bidi w:val="0"/>
        <w:spacing w:line="570" w:lineRule="exact"/>
        <w:ind w:firstLine="562"/>
        <w:textAlignment w:val="auto"/>
        <w:rPr>
          <w:rFonts w:hint="eastAsia" w:ascii="仿宋_GB2312" w:hAnsi="仿宋_GB2312" w:eastAsia="仿宋_GB2312" w:cs="仿宋_GB2312"/>
          <w:color w:val="auto"/>
          <w:highlight w:val="none"/>
        </w:rPr>
      </w:pPr>
      <w:bookmarkStart w:id="12" w:name="_Toc5055"/>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问题整改</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5.归集档案</w:t>
      </w:r>
      <w:bookmarkEnd w:id="12"/>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我单位项目负责人</w:t>
      </w:r>
      <w:r>
        <w:rPr>
          <w:rFonts w:hint="eastAsia" w:ascii="仿宋_GB2312" w:hAnsi="仿宋_GB2312" w:eastAsia="仿宋_GB2312" w:cs="仿宋_GB2312"/>
          <w:color w:val="auto"/>
          <w:highlight w:val="none"/>
        </w:rPr>
        <w:t>落实档案管理制度，将项目相关资料存档，包括但不限于：评价项目基本情况和相关文件、评价实施方案、项目支付资料等相关档案。</w:t>
      </w:r>
    </w:p>
    <w:p>
      <w:pPr>
        <w:pStyle w:val="3"/>
        <w:pageBreakBefore w:val="0"/>
        <w:numPr>
          <w:ilvl w:val="0"/>
          <w:numId w:val="0"/>
        </w:numPr>
        <w:kinsoku/>
        <w:wordWrap/>
        <w:topLinePunct w:val="0"/>
        <w:autoSpaceDE/>
        <w:autoSpaceDN/>
        <w:bidi w:val="0"/>
        <w:spacing w:line="570" w:lineRule="exact"/>
        <w:ind w:firstLine="640" w:firstLineChars="200"/>
        <w:textAlignment w:val="auto"/>
        <w:rPr>
          <w:rFonts w:hint="eastAsia"/>
          <w:color w:val="auto"/>
          <w:highlight w:val="none"/>
        </w:rPr>
      </w:pPr>
      <w:r>
        <w:rPr>
          <w:rFonts w:hint="eastAsia"/>
          <w:color w:val="auto"/>
          <w:highlight w:val="none"/>
          <w:lang w:val="en-US" w:eastAsia="zh-CN"/>
        </w:rPr>
        <w:t>三、</w:t>
      </w:r>
      <w:r>
        <w:rPr>
          <w:rFonts w:hint="eastAsia"/>
          <w:color w:val="auto"/>
          <w:highlight w:val="none"/>
        </w:rPr>
        <w:t>综合评价情况及评价结论</w:t>
      </w:r>
      <w:bookmarkStart w:id="13" w:name="_Toc68364665"/>
    </w:p>
    <w:p>
      <w:pPr>
        <w:pStyle w:val="3"/>
        <w:pageBreakBefore w:val="0"/>
        <w:numPr>
          <w:ilvl w:val="0"/>
          <w:numId w:val="0"/>
        </w:numPr>
        <w:kinsoku/>
        <w:wordWrap/>
        <w:topLinePunct w:val="0"/>
        <w:autoSpaceDE/>
        <w:autoSpaceDN/>
        <w:bidi w:val="0"/>
        <w:spacing w:line="570" w:lineRule="exact"/>
        <w:ind w:firstLine="640" w:firstLineChars="200"/>
        <w:textAlignment w:val="auto"/>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（一）综合评价情况</w:t>
      </w:r>
      <w:bookmarkEnd w:id="13"/>
      <w:bookmarkStart w:id="14" w:name="_Toc68364666"/>
    </w:p>
    <w:p>
      <w:pPr>
        <w:pStyle w:val="3"/>
        <w:pageBreakBefore w:val="0"/>
        <w:numPr>
          <w:ilvl w:val="0"/>
          <w:numId w:val="0"/>
        </w:numPr>
        <w:kinsoku/>
        <w:wordWrap/>
        <w:topLinePunct w:val="0"/>
        <w:autoSpaceDE/>
        <w:autoSpaceDN/>
        <w:bidi w:val="0"/>
        <w:spacing w:line="57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经评价，本项目</w:t>
      </w:r>
      <w:r>
        <w:rPr>
          <w:rFonts w:hint="eastAsia" w:ascii="仿宋_GB2312" w:hAnsi="仿宋_GB2312" w:eastAsia="仿宋_GB2312" w:cs="仿宋_GB2312"/>
          <w:color w:val="auto"/>
          <w:sz w:val="28"/>
          <w:szCs w:val="28"/>
          <w:highlight w:val="none"/>
          <w:lang w:val="en-US" w:eastAsia="zh-CN"/>
        </w:rPr>
        <w:t>达成</w:t>
      </w:r>
      <w:r>
        <w:rPr>
          <w:rFonts w:hint="eastAsia" w:ascii="仿宋_GB2312" w:hAnsi="仿宋_GB2312" w:eastAsia="仿宋_GB2312" w:cs="仿宋_GB2312"/>
          <w:color w:val="auto"/>
          <w:sz w:val="28"/>
          <w:szCs w:val="28"/>
          <w:highlight w:val="none"/>
          <w:lang w:eastAsia="zh-CN"/>
        </w:rPr>
        <w:t>年初设立的绩效目标，</w:t>
      </w:r>
      <w:r>
        <w:rPr>
          <w:rFonts w:hint="eastAsia" w:ascii="仿宋_GB2312" w:hAnsi="仿宋_GB2312" w:eastAsia="仿宋_GB2312" w:cs="仿宋_GB2312"/>
          <w:color w:val="auto"/>
          <w:sz w:val="28"/>
          <w:szCs w:val="28"/>
          <w:highlight w:val="none"/>
        </w:rPr>
        <w:t>项目总体组织规范，</w:t>
      </w:r>
      <w:r>
        <w:rPr>
          <w:rFonts w:hint="eastAsia" w:ascii="仿宋_GB2312" w:hAnsi="仿宋_GB2312" w:eastAsia="仿宋_GB2312" w:cs="仿宋_GB2312"/>
          <w:color w:val="auto"/>
          <w:sz w:val="28"/>
          <w:szCs w:val="28"/>
          <w:highlight w:val="none"/>
          <w:lang w:eastAsia="zh-CN"/>
        </w:rPr>
        <w:t>在实施过程中取得了良好的成效，具体表现在以下</w:t>
      </w:r>
      <w:r>
        <w:rPr>
          <w:rFonts w:hint="eastAsia" w:ascii="仿宋_GB2312" w:hAnsi="仿宋_GB2312" w:eastAsia="仿宋_GB2312" w:cs="仿宋_GB2312"/>
          <w:color w:val="auto"/>
          <w:sz w:val="28"/>
          <w:szCs w:val="28"/>
          <w:highlight w:val="none"/>
          <w:lang w:val="en-US" w:eastAsia="zh-Hans"/>
        </w:rPr>
        <w:t>四</w:t>
      </w:r>
      <w:r>
        <w:rPr>
          <w:rFonts w:hint="eastAsia" w:ascii="仿宋_GB2312" w:hAnsi="仿宋_GB2312" w:eastAsia="仿宋_GB2312" w:cs="仿宋_GB2312"/>
          <w:color w:val="auto"/>
          <w:sz w:val="28"/>
          <w:szCs w:val="28"/>
          <w:highlight w:val="none"/>
          <w:lang w:eastAsia="zh-CN"/>
        </w:rPr>
        <w:t>方面：</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项目决策方面</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项目立项符合</w:t>
      </w:r>
      <w:r>
        <w:rPr>
          <w:rFonts w:hint="eastAsia" w:ascii="仿宋_GB2312" w:hAnsi="仿宋_GB2312" w:eastAsia="仿宋_GB2312" w:cs="仿宋_GB2312"/>
          <w:color w:val="auto"/>
          <w:highlight w:val="none"/>
          <w:lang w:eastAsia="zh-CN"/>
        </w:rPr>
        <w:t>国家法律法规、国民经济发展规划和相关政策</w:t>
      </w:r>
      <w:r>
        <w:rPr>
          <w:rFonts w:hint="eastAsia" w:ascii="仿宋_GB2312" w:hAnsi="仿宋_GB2312" w:eastAsia="仿宋_GB2312" w:cs="仿宋_GB2312"/>
          <w:color w:val="auto"/>
          <w:highlight w:val="none"/>
        </w:rPr>
        <w:t>等国家法律法规关于</w:t>
      </w:r>
      <w:r>
        <w:rPr>
          <w:rFonts w:hint="eastAsia" w:ascii="仿宋_GB2312" w:hAnsi="仿宋_GB2312" w:eastAsia="仿宋_GB2312" w:cs="仿宋_GB2312"/>
          <w:color w:val="auto"/>
          <w:highlight w:val="none"/>
          <w:lang w:val="en-US" w:eastAsia="zh-CN"/>
        </w:rPr>
        <w:t>重点优抚对象</w:t>
      </w:r>
      <w:r>
        <w:rPr>
          <w:rFonts w:hint="eastAsia" w:ascii="仿宋_GB2312" w:hAnsi="仿宋_GB2312" w:eastAsia="仿宋_GB2312" w:cs="仿宋_GB2312"/>
          <w:color w:val="auto"/>
          <w:highlight w:val="none"/>
        </w:rPr>
        <w:t>的国民经济发展规划和相关政策</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项目立项与</w:t>
      </w:r>
      <w:r>
        <w:rPr>
          <w:rFonts w:hint="eastAsia" w:ascii="仿宋_GB2312" w:hAnsi="仿宋_GB2312" w:eastAsia="仿宋_GB2312" w:cs="仿宋_GB2312"/>
          <w:color w:val="auto"/>
          <w:highlight w:val="none"/>
          <w:lang w:val="en-US" w:eastAsia="zh-CN"/>
        </w:rPr>
        <w:t>我单位</w:t>
      </w:r>
      <w:r>
        <w:rPr>
          <w:rFonts w:hint="eastAsia" w:ascii="仿宋_GB2312" w:hAnsi="仿宋_GB2312" w:eastAsia="仿宋_GB2312" w:cs="仿宋_GB2312"/>
          <w:color w:val="auto"/>
          <w:highlight w:val="none"/>
        </w:rPr>
        <w:t>开展</w:t>
      </w:r>
      <w:r>
        <w:rPr>
          <w:rFonts w:hint="eastAsia" w:ascii="仿宋_GB2312" w:hAnsi="仿宋_GB2312" w:eastAsia="仿宋_GB2312" w:cs="仿宋_GB2312"/>
          <w:color w:val="auto"/>
          <w:highlight w:val="none"/>
          <w:lang w:val="en-US" w:eastAsia="zh-CN"/>
        </w:rPr>
        <w:t>重点优抚对象生活补助</w:t>
      </w:r>
      <w:r>
        <w:rPr>
          <w:rFonts w:hint="eastAsia" w:ascii="仿宋_GB2312" w:hAnsi="仿宋_GB2312" w:eastAsia="仿宋_GB2312" w:cs="仿宋_GB2312"/>
          <w:color w:val="auto"/>
          <w:highlight w:val="none"/>
        </w:rPr>
        <w:t>工作这一部门职责范围相符</w:t>
      </w:r>
      <w:r>
        <w:rPr>
          <w:rFonts w:hint="eastAsia" w:ascii="仿宋_GB2312" w:hAnsi="仿宋_GB2312" w:eastAsia="仿宋_GB2312" w:cs="仿宋_GB2312"/>
          <w:color w:val="auto"/>
          <w:highlight w:val="none"/>
          <w:lang w:eastAsia="zh-Hans"/>
        </w:rPr>
        <w:t>，属于</w:t>
      </w:r>
      <w:r>
        <w:rPr>
          <w:rFonts w:hint="eastAsia" w:ascii="仿宋_GB2312" w:hAnsi="仿宋_GB2312" w:eastAsia="仿宋_GB2312" w:cs="仿宋_GB2312"/>
          <w:color w:val="auto"/>
          <w:highlight w:val="none"/>
        </w:rPr>
        <w:t>我单位</w:t>
      </w:r>
      <w:r>
        <w:rPr>
          <w:rFonts w:hint="eastAsia" w:ascii="仿宋_GB2312" w:hAnsi="仿宋_GB2312" w:eastAsia="仿宋_GB2312" w:cs="仿宋_GB2312"/>
          <w:color w:val="auto"/>
          <w:highlight w:val="none"/>
          <w:lang w:eastAsia="zh-Hans"/>
        </w:rPr>
        <w:t>履职所需</w:t>
      </w:r>
      <w:r>
        <w:rPr>
          <w:rFonts w:hint="eastAsia" w:ascii="仿宋_GB2312" w:hAnsi="仿宋_GB2312" w:eastAsia="仿宋_GB2312" w:cs="仿宋_GB2312"/>
          <w:color w:val="auto"/>
          <w:highlight w:val="none"/>
        </w:rPr>
        <w:t>；根据《财政资金直接支付申请书》，本项目资金性质为</w:t>
      </w:r>
      <w:r>
        <w:rPr>
          <w:rFonts w:hint="eastAsia" w:ascii="仿宋_GB2312" w:hAnsi="仿宋_GB2312" w:eastAsia="仿宋_GB2312" w:cs="仿宋_GB2312"/>
          <w:color w:val="auto"/>
          <w:highlight w:val="none"/>
          <w:lang w:val="en-US" w:eastAsia="zh-CN"/>
        </w:rPr>
        <w:t>上级专项</w:t>
      </w:r>
      <w:r>
        <w:rPr>
          <w:rFonts w:hint="eastAsia" w:ascii="仿宋_GB2312" w:hAnsi="仿宋_GB2312" w:eastAsia="仿宋_GB2312" w:cs="仿宋_GB2312"/>
          <w:color w:val="auto"/>
          <w:highlight w:val="none"/>
        </w:rPr>
        <w:t>资金</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功能分类为</w:t>
      </w:r>
      <w:r>
        <w:rPr>
          <w:rFonts w:hint="eastAsia" w:ascii="仿宋_GB2312" w:hAnsi="仿宋_GB2312" w:eastAsia="仿宋_GB2312" w:cs="仿宋_GB2312"/>
          <w:color w:val="auto"/>
          <w:highlight w:val="none"/>
          <w:lang w:val="en-US" w:eastAsia="zh-CN"/>
        </w:rPr>
        <w:t>抚恤</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经济分类为</w:t>
      </w:r>
      <w:r>
        <w:rPr>
          <w:rFonts w:hint="eastAsia" w:ascii="仿宋_GB2312" w:hAnsi="仿宋_GB2312" w:eastAsia="仿宋_GB2312" w:cs="仿宋_GB2312"/>
          <w:color w:val="auto"/>
          <w:highlight w:val="none"/>
          <w:lang w:val="en-US" w:eastAsia="zh-CN"/>
        </w:rPr>
        <w:t>生活补助</w:t>
      </w:r>
      <w:r>
        <w:rPr>
          <w:rFonts w:hint="eastAsia" w:ascii="仿宋_GB2312" w:hAnsi="仿宋_GB2312" w:eastAsia="仿宋_GB2312" w:cs="仿宋_GB2312"/>
          <w:color w:val="auto"/>
          <w:highlight w:val="none"/>
        </w:rPr>
        <w:t>支出</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根据《</w:t>
      </w:r>
      <w:r>
        <w:rPr>
          <w:rFonts w:hint="eastAsia" w:ascii="仿宋_GB2312" w:hAnsi="仿宋_GB2312" w:eastAsia="仿宋_GB2312" w:cs="仿宋_GB2312"/>
          <w:color w:val="auto"/>
          <w:highlight w:val="none"/>
          <w:lang w:val="en-US" w:eastAsia="zh-CN"/>
        </w:rPr>
        <w:t>中华人民共和国</w:t>
      </w:r>
      <w:r>
        <w:rPr>
          <w:rFonts w:hint="eastAsia" w:ascii="仿宋_GB2312" w:hAnsi="仿宋_GB2312" w:eastAsia="仿宋_GB2312" w:cs="仿宋_GB2312"/>
          <w:color w:val="auto"/>
          <w:highlight w:val="none"/>
        </w:rPr>
        <w:t>预算法》属于公共财政支持范围，符合中央、地方事权支出责任划分原则；经检查</w:t>
      </w:r>
      <w:r>
        <w:rPr>
          <w:rFonts w:hint="eastAsia" w:ascii="仿宋_GB2312" w:hAnsi="仿宋_GB2312" w:eastAsia="仿宋_GB2312" w:cs="仿宋_GB2312"/>
          <w:color w:val="auto"/>
          <w:highlight w:val="none"/>
          <w:lang w:eastAsia="zh-Hans"/>
        </w:rPr>
        <w:t>我单位财政应用平台指标，</w:t>
      </w: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Hans"/>
        </w:rPr>
        <w:t>项目不存在重复</w:t>
      </w:r>
      <w:r>
        <w:rPr>
          <w:rFonts w:hint="eastAsia" w:ascii="仿宋_GB2312" w:hAnsi="仿宋_GB2312" w:eastAsia="仿宋_GB2312" w:cs="仿宋_GB2312"/>
          <w:color w:val="auto"/>
          <w:highlight w:val="none"/>
        </w:rPr>
        <w:t xml:space="preserve">。 </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项目管理方面</w:t>
      </w:r>
      <w:r>
        <w:rPr>
          <w:rFonts w:hint="eastAsia" w:ascii="仿宋_GB2312" w:hAnsi="仿宋_GB2312" w:eastAsia="仿宋_GB2312" w:cs="仿宋_GB2312"/>
          <w:color w:val="auto"/>
          <w:highlight w:val="none"/>
          <w:lang w:eastAsia="zh-CN"/>
        </w:rPr>
        <w:t>：县退役军人事务局同财政局，负责领导、统筹、协调项目各项工作，县退役军人事务局主要负责对项目开展工作的指导、协调和监督</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县财政局负责对项目补贴资金使用的检察监督，在托克逊县人民政府的统一安排下，县财政局、县退役军人事务局全面贯彻落实关于重点优抚对象生活补助资金项目的工作要求，认真落实项目任务。把绩效监控工作列入重要议事日程，并将其作为加强自身财务建设，提高项目资金使用效益的重要手段，切实抓紧抓好</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项目产出方面：我县重点优抚对象生活补助相关发放表资料，检查是否支出超标，完成</w:t>
      </w:r>
      <w:r>
        <w:rPr>
          <w:rFonts w:hint="eastAsia" w:ascii="仿宋_GB2312" w:hAnsi="仿宋_GB2312" w:eastAsia="仿宋_GB2312" w:cs="仿宋_GB2312"/>
          <w:color w:val="auto"/>
          <w:highlight w:val="none"/>
          <w:lang w:val="en-US" w:eastAsia="zh-CN"/>
        </w:rPr>
        <w:t>239名补助资金的发放工作。</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项目效益方面：根据项目调查问卷报告</w:t>
      </w:r>
      <w:r>
        <w:rPr>
          <w:rFonts w:hint="eastAsia" w:ascii="仿宋_GB2312" w:hAnsi="仿宋_GB2312" w:eastAsia="仿宋_GB2312" w:cs="仿宋_GB2312"/>
          <w:color w:val="auto"/>
          <w:highlight w:val="none"/>
          <w:lang w:val="en-US" w:eastAsia="zh-CN"/>
        </w:rPr>
        <w:t>2023年重点优抚对象项目资金使用和项目管理方面基本规范、合理，实施效果明显，取得了良好的效益。</w:t>
      </w:r>
    </w:p>
    <w:p>
      <w:pPr>
        <w:pStyle w:val="4"/>
        <w:pageBreakBefore w:val="0"/>
        <w:kinsoku/>
        <w:wordWrap/>
        <w:topLinePunct w:val="0"/>
        <w:autoSpaceDE/>
        <w:autoSpaceDN/>
        <w:bidi w:val="0"/>
        <w:spacing w:line="570" w:lineRule="exact"/>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（二）综合评价结论</w:t>
      </w:r>
    </w:p>
    <w:bookmarkEnd w:id="14"/>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此次绩效评价通过绩效评价小组论证的评价指标体系及评分标准，采用比较法、公众评判法、因素分析法等对本项目绩效进行客观评价，最终评分结果：总分为98.</w:t>
      </w:r>
      <w:r>
        <w:rPr>
          <w:rFonts w:hint="eastAsia" w:ascii="仿宋_GB2312" w:hAnsi="仿宋_GB2312" w:cs="仿宋_GB2312"/>
          <w:color w:val="auto"/>
          <w:highlight w:val="none"/>
          <w:lang w:val="en-US" w:eastAsia="zh-CN"/>
        </w:rPr>
        <w:t>47</w:t>
      </w:r>
      <w:r>
        <w:rPr>
          <w:rFonts w:hint="eastAsia" w:ascii="仿宋_GB2312" w:hAnsi="仿宋_GB2312" w:eastAsia="仿宋_GB2312" w:cs="仿宋_GB2312"/>
          <w:color w:val="auto"/>
          <w:highlight w:val="none"/>
          <w:lang w:val="en-US" w:eastAsia="zh-CN"/>
        </w:rPr>
        <w:t>分，绩效评级为“优秀”。综合评价结论如下：本项目决策指标共设置6个，满分20分，得分率100%；项目过程指标共设置5个，满分20分，得分率94.95%；项目产出指标共设置6个，满分24分，得分率</w:t>
      </w:r>
      <w:r>
        <w:rPr>
          <w:rFonts w:hint="eastAsia" w:ascii="仿宋_GB2312" w:hAnsi="仿宋_GB2312" w:cs="仿宋_GB2312"/>
          <w:color w:val="auto"/>
          <w:highlight w:val="none"/>
          <w:lang w:val="en-US" w:eastAsia="zh-CN"/>
        </w:rPr>
        <w:t>97.83</w:t>
      </w:r>
      <w:r>
        <w:rPr>
          <w:rFonts w:hint="eastAsia" w:ascii="仿宋_GB2312" w:hAnsi="仿宋_GB2312" w:eastAsia="仿宋_GB2312" w:cs="仿宋_GB2312"/>
          <w:color w:val="auto"/>
          <w:highlight w:val="none"/>
          <w:lang w:val="en-US" w:eastAsia="zh-CN"/>
        </w:rPr>
        <w:t>%；项目成本指标共设置1个，满分12分，得分率100%；项目效益指标共设置4个，满分24分，得分率100%。</w:t>
      </w:r>
      <w:r>
        <w:rPr>
          <w:rFonts w:hint="eastAsia" w:ascii="仿宋_GB2312" w:hAnsi="仿宋_GB2312" w:eastAsia="仿宋_GB2312" w:cs="仿宋_GB2312"/>
          <w:color w:val="auto"/>
          <w:highlight w:val="none"/>
          <w:lang w:val="zh-TW" w:eastAsia="zh-CN"/>
        </w:rPr>
        <w:t>详细情况见</w:t>
      </w:r>
      <w:r>
        <w:rPr>
          <w:rFonts w:hint="eastAsia" w:ascii="仿宋_GB2312" w:hAnsi="仿宋_GB2312" w:eastAsia="仿宋_GB2312" w:cs="仿宋_GB2312"/>
          <w:color w:val="auto"/>
          <w:highlight w:val="none"/>
        </w:rPr>
        <w:t>“附件</w:t>
      </w:r>
      <w:r>
        <w:rPr>
          <w:rFonts w:hint="eastAsia"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rPr>
        <w:t>：项目支出绩效评价</w:t>
      </w:r>
      <w:r>
        <w:rPr>
          <w:rFonts w:hint="eastAsia" w:ascii="仿宋_GB2312" w:hAnsi="仿宋_GB2312" w:eastAsia="仿宋_GB2312" w:cs="仿宋_GB2312"/>
          <w:color w:val="auto"/>
          <w:highlight w:val="none"/>
          <w:lang w:val="en-US" w:eastAsia="zh-CN"/>
        </w:rPr>
        <w:t>指标</w:t>
      </w:r>
      <w:r>
        <w:rPr>
          <w:rFonts w:hint="eastAsia" w:ascii="仿宋_GB2312" w:hAnsi="仿宋_GB2312" w:eastAsia="仿宋_GB2312" w:cs="仿宋_GB2312"/>
          <w:color w:val="auto"/>
          <w:highlight w:val="none"/>
        </w:rPr>
        <w:t>体系</w:t>
      </w:r>
      <w:r>
        <w:rPr>
          <w:rFonts w:hint="eastAsia" w:ascii="仿宋_GB2312" w:hAnsi="仿宋_GB2312" w:eastAsia="仿宋_GB2312" w:cs="仿宋_GB2312"/>
          <w:color w:val="auto"/>
          <w:highlight w:val="none"/>
          <w:lang w:val="en-US" w:eastAsia="zh-CN"/>
        </w:rPr>
        <w:t>表</w:t>
      </w:r>
      <w:r>
        <w:rPr>
          <w:rFonts w:hint="eastAsia" w:ascii="仿宋_GB2312" w:hAnsi="仿宋_GB2312" w:eastAsia="仿宋_GB2312" w:cs="仿宋_GB2312"/>
          <w:color w:val="auto"/>
          <w:highlight w:val="none"/>
        </w:rPr>
        <w:t>和项目综合得分表”</w:t>
      </w:r>
      <w:r>
        <w:rPr>
          <w:rFonts w:hint="eastAsia" w:ascii="仿宋_GB2312" w:hAnsi="仿宋_GB2312" w:eastAsia="仿宋_GB2312" w:cs="仿宋_GB2312"/>
          <w:color w:val="auto"/>
          <w:highlight w:val="none"/>
          <w:lang w:eastAsia="zh-CN"/>
        </w:rPr>
        <w:t>。</w:t>
      </w:r>
    </w:p>
    <w:p>
      <w:pPr>
        <w:pStyle w:val="3"/>
        <w:pageBreakBefore w:val="0"/>
        <w:numPr>
          <w:ilvl w:val="0"/>
          <w:numId w:val="0"/>
        </w:numPr>
        <w:kinsoku/>
        <w:wordWrap/>
        <w:topLinePunct w:val="0"/>
        <w:autoSpaceDE/>
        <w:autoSpaceDN/>
        <w:bidi w:val="0"/>
        <w:spacing w:line="570" w:lineRule="exact"/>
        <w:ind w:firstLine="640" w:firstLineChars="200"/>
        <w:textAlignment w:val="auto"/>
        <w:rPr>
          <w:rFonts w:hint="eastAsia"/>
          <w:color w:val="auto"/>
          <w:highlight w:val="none"/>
        </w:rPr>
      </w:pPr>
      <w:r>
        <w:rPr>
          <w:rFonts w:hint="eastAsia"/>
          <w:color w:val="auto"/>
          <w:highlight w:val="none"/>
          <w:lang w:val="en-US" w:eastAsia="zh-CN"/>
        </w:rPr>
        <w:t>四、</w:t>
      </w:r>
      <w:r>
        <w:rPr>
          <w:rFonts w:hint="eastAsia"/>
          <w:color w:val="auto"/>
          <w:highlight w:val="none"/>
        </w:rPr>
        <w:t>绩效评价指标分析</w:t>
      </w:r>
    </w:p>
    <w:p>
      <w:pPr>
        <w:pStyle w:val="4"/>
        <w:pageBreakBefore w:val="0"/>
        <w:kinsoku/>
        <w:wordWrap/>
        <w:topLinePunct w:val="0"/>
        <w:autoSpaceDE/>
        <w:autoSpaceDN/>
        <w:bidi w:val="0"/>
        <w:spacing w:line="570" w:lineRule="exact"/>
        <w:textAlignment w:val="auto"/>
        <w:rPr>
          <w:rFonts w:hint="eastAsia" w:ascii="楷体_GB2312" w:hAnsi="楷体_GB2312" w:eastAsia="楷体_GB2312" w:cs="楷体_GB2312"/>
          <w:color w:val="auto"/>
          <w:sz w:val="32"/>
          <w:highlight w:val="none"/>
        </w:rPr>
      </w:pPr>
      <w:bookmarkStart w:id="15" w:name="_Toc68364668"/>
      <w:r>
        <w:rPr>
          <w:rFonts w:hint="eastAsia" w:ascii="楷体_GB2312" w:hAnsi="楷体_GB2312" w:eastAsia="楷体_GB2312" w:cs="楷体_GB2312"/>
          <w:color w:val="auto"/>
          <w:sz w:val="32"/>
          <w:highlight w:val="none"/>
        </w:rPr>
        <w:t>（一）项目决策情况</w:t>
      </w:r>
    </w:p>
    <w:p>
      <w:pPr>
        <w:pageBreakBefore w:val="0"/>
        <w:kinsoku/>
        <w:wordWrap/>
        <w:overflowPunct w:val="0"/>
        <w:topLinePunct w:val="0"/>
        <w:autoSpaceDE/>
        <w:autoSpaceDN/>
        <w:bidi w:val="0"/>
        <w:spacing w:line="570" w:lineRule="exact"/>
        <w:ind w:right="0" w:rightChars="0" w:firstLine="640"/>
        <w:contextualSpacing/>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项目决策类指标包括项目立项、绩效目标和资金投入三方面的内容，由</w:t>
      </w:r>
      <w:r>
        <w:rPr>
          <w:rFonts w:hint="eastAsia" w:ascii="仿宋_GB2312" w:hAnsi="仿宋_GB2312" w:eastAsia="仿宋_GB2312" w:cs="仿宋_GB2312"/>
          <w:color w:val="auto"/>
          <w:highlight w:val="none"/>
          <w:lang w:eastAsia="zh-CN"/>
        </w:rPr>
        <w:t>3个二级指标和6个三级指标构成</w:t>
      </w:r>
      <w:r>
        <w:rPr>
          <w:rFonts w:hint="eastAsia" w:ascii="仿宋_GB2312" w:hAnsi="仿宋_GB2312" w:eastAsia="仿宋_GB2312" w:cs="仿宋_GB2312"/>
          <w:color w:val="auto"/>
          <w:sz w:val="28"/>
          <w:szCs w:val="28"/>
          <w:highlight w:val="none"/>
        </w:rPr>
        <w:t>，权重分为2</w:t>
      </w:r>
      <w:r>
        <w:rPr>
          <w:rFonts w:hint="eastAsia" w:ascii="仿宋_GB2312" w:hAnsi="仿宋_GB2312" w:eastAsia="仿宋_GB2312" w:cs="仿宋_GB2312"/>
          <w:color w:val="auto"/>
          <w:sz w:val="28"/>
          <w:szCs w:val="28"/>
          <w:highlight w:val="none"/>
          <w:lang w:val="en-US" w:eastAsia="zh-CN"/>
        </w:rPr>
        <w:t>0</w:t>
      </w:r>
      <w:r>
        <w:rPr>
          <w:rFonts w:hint="eastAsia" w:ascii="仿宋_GB2312" w:hAnsi="仿宋_GB2312" w:eastAsia="仿宋_GB2312" w:cs="仿宋_GB2312"/>
          <w:color w:val="auto"/>
          <w:sz w:val="28"/>
          <w:szCs w:val="28"/>
          <w:highlight w:val="none"/>
        </w:rPr>
        <w:t>分，实际得分</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分。</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1.项目立项情况分析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（1）立项依据充分性：</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项目立项符合</w:t>
      </w:r>
      <w:r>
        <w:rPr>
          <w:rFonts w:hint="eastAsia" w:ascii="仿宋_GB2312" w:hAnsi="仿宋_GB2312" w:eastAsia="仿宋_GB2312" w:cs="仿宋_GB2312"/>
          <w:color w:val="auto"/>
          <w:highlight w:val="none"/>
          <w:lang w:eastAsia="zh-CN"/>
        </w:rPr>
        <w:t>国家法律法规、国民经济发展规划和相关政策</w:t>
      </w:r>
      <w:r>
        <w:rPr>
          <w:rFonts w:hint="eastAsia" w:ascii="仿宋_GB2312" w:hAnsi="仿宋_GB2312" w:eastAsia="仿宋_GB2312" w:cs="仿宋_GB2312"/>
          <w:color w:val="auto"/>
          <w:highlight w:val="none"/>
        </w:rPr>
        <w:t>等国家法律法规关于</w:t>
      </w:r>
      <w:r>
        <w:rPr>
          <w:rFonts w:hint="eastAsia" w:ascii="仿宋_GB2312" w:hAnsi="仿宋_GB2312" w:eastAsia="仿宋_GB2312" w:cs="仿宋_GB2312"/>
          <w:color w:val="auto"/>
          <w:highlight w:val="none"/>
          <w:lang w:val="en-US" w:eastAsia="zh-CN"/>
        </w:rPr>
        <w:t>重点优抚对象</w:t>
      </w:r>
      <w:r>
        <w:rPr>
          <w:rFonts w:hint="eastAsia" w:ascii="仿宋_GB2312" w:hAnsi="仿宋_GB2312" w:eastAsia="仿宋_GB2312" w:cs="仿宋_GB2312"/>
          <w:color w:val="auto"/>
          <w:highlight w:val="none"/>
        </w:rPr>
        <w:t>的国民经济发展规划和相关政策</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项目立项与</w:t>
      </w:r>
      <w:r>
        <w:rPr>
          <w:rFonts w:hint="eastAsia" w:ascii="仿宋_GB2312" w:hAnsi="仿宋_GB2312" w:eastAsia="仿宋_GB2312" w:cs="仿宋_GB2312"/>
          <w:color w:val="auto"/>
          <w:highlight w:val="none"/>
          <w:lang w:val="en-US" w:eastAsia="zh-CN"/>
        </w:rPr>
        <w:t>我单位</w:t>
      </w:r>
      <w:r>
        <w:rPr>
          <w:rFonts w:hint="eastAsia" w:ascii="仿宋_GB2312" w:hAnsi="仿宋_GB2312" w:eastAsia="仿宋_GB2312" w:cs="仿宋_GB2312"/>
          <w:color w:val="auto"/>
          <w:highlight w:val="none"/>
        </w:rPr>
        <w:t>开展</w:t>
      </w:r>
      <w:r>
        <w:rPr>
          <w:rFonts w:hint="eastAsia" w:ascii="仿宋_GB2312" w:hAnsi="仿宋_GB2312" w:eastAsia="仿宋_GB2312" w:cs="仿宋_GB2312"/>
          <w:color w:val="auto"/>
          <w:highlight w:val="none"/>
          <w:lang w:val="en-US" w:eastAsia="zh-CN"/>
        </w:rPr>
        <w:t>重点优抚对象生活补助</w:t>
      </w:r>
      <w:r>
        <w:rPr>
          <w:rFonts w:hint="eastAsia" w:ascii="仿宋_GB2312" w:hAnsi="仿宋_GB2312" w:eastAsia="仿宋_GB2312" w:cs="仿宋_GB2312"/>
          <w:color w:val="auto"/>
          <w:highlight w:val="none"/>
        </w:rPr>
        <w:t>工作这一部门职责范围相符</w:t>
      </w:r>
      <w:r>
        <w:rPr>
          <w:rFonts w:hint="eastAsia" w:ascii="仿宋_GB2312" w:hAnsi="仿宋_GB2312" w:eastAsia="仿宋_GB2312" w:cs="仿宋_GB2312"/>
          <w:color w:val="auto"/>
          <w:highlight w:val="none"/>
          <w:lang w:eastAsia="zh-Hans"/>
        </w:rPr>
        <w:t>，属于</w:t>
      </w:r>
      <w:r>
        <w:rPr>
          <w:rFonts w:hint="eastAsia" w:ascii="仿宋_GB2312" w:hAnsi="仿宋_GB2312" w:eastAsia="仿宋_GB2312" w:cs="仿宋_GB2312"/>
          <w:color w:val="auto"/>
          <w:highlight w:val="none"/>
        </w:rPr>
        <w:t>我单位</w:t>
      </w:r>
      <w:r>
        <w:rPr>
          <w:rFonts w:hint="eastAsia" w:ascii="仿宋_GB2312" w:hAnsi="仿宋_GB2312" w:eastAsia="仿宋_GB2312" w:cs="仿宋_GB2312"/>
          <w:color w:val="auto"/>
          <w:highlight w:val="none"/>
          <w:lang w:eastAsia="zh-Hans"/>
        </w:rPr>
        <w:t>履职所需</w:t>
      </w:r>
      <w:r>
        <w:rPr>
          <w:rFonts w:hint="eastAsia" w:ascii="仿宋_GB2312" w:hAnsi="仿宋_GB2312" w:eastAsia="仿宋_GB2312" w:cs="仿宋_GB2312"/>
          <w:color w:val="auto"/>
          <w:highlight w:val="none"/>
        </w:rPr>
        <w:t>；根据《财政资金直接支付申请书》，本项目资金性质为</w:t>
      </w:r>
      <w:r>
        <w:rPr>
          <w:rFonts w:hint="eastAsia" w:ascii="仿宋_GB2312" w:hAnsi="仿宋_GB2312" w:eastAsia="仿宋_GB2312" w:cs="仿宋_GB2312"/>
          <w:color w:val="auto"/>
          <w:highlight w:val="none"/>
          <w:lang w:val="en-US" w:eastAsia="zh-CN"/>
        </w:rPr>
        <w:t>上级专项</w:t>
      </w:r>
      <w:r>
        <w:rPr>
          <w:rFonts w:hint="eastAsia" w:ascii="仿宋_GB2312" w:hAnsi="仿宋_GB2312" w:eastAsia="仿宋_GB2312" w:cs="仿宋_GB2312"/>
          <w:color w:val="auto"/>
          <w:highlight w:val="none"/>
        </w:rPr>
        <w:t>资金</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功能分类为</w:t>
      </w:r>
      <w:r>
        <w:rPr>
          <w:rFonts w:hint="eastAsia" w:ascii="仿宋_GB2312" w:hAnsi="仿宋_GB2312" w:eastAsia="仿宋_GB2312" w:cs="仿宋_GB2312"/>
          <w:color w:val="auto"/>
          <w:highlight w:val="none"/>
          <w:lang w:val="en-US" w:eastAsia="zh-CN"/>
        </w:rPr>
        <w:t>抚恤</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经济分类为</w:t>
      </w:r>
      <w:r>
        <w:rPr>
          <w:rFonts w:hint="eastAsia" w:ascii="仿宋_GB2312" w:hAnsi="仿宋_GB2312" w:eastAsia="仿宋_GB2312" w:cs="仿宋_GB2312"/>
          <w:color w:val="auto"/>
          <w:highlight w:val="none"/>
          <w:lang w:val="en-US" w:eastAsia="zh-CN"/>
        </w:rPr>
        <w:t>生活补助</w:t>
      </w:r>
      <w:r>
        <w:rPr>
          <w:rFonts w:hint="eastAsia" w:ascii="仿宋_GB2312" w:hAnsi="仿宋_GB2312" w:eastAsia="仿宋_GB2312" w:cs="仿宋_GB2312"/>
          <w:color w:val="auto"/>
          <w:highlight w:val="none"/>
        </w:rPr>
        <w:t>支出</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根据《</w:t>
      </w:r>
      <w:r>
        <w:rPr>
          <w:rFonts w:hint="eastAsia" w:ascii="仿宋_GB2312" w:hAnsi="仿宋_GB2312" w:eastAsia="仿宋_GB2312" w:cs="仿宋_GB2312"/>
          <w:color w:val="auto"/>
          <w:highlight w:val="none"/>
          <w:lang w:val="en-US" w:eastAsia="zh-CN"/>
        </w:rPr>
        <w:t>中华人民共和国</w:t>
      </w:r>
      <w:r>
        <w:rPr>
          <w:rFonts w:hint="eastAsia" w:ascii="仿宋_GB2312" w:hAnsi="仿宋_GB2312" w:eastAsia="仿宋_GB2312" w:cs="仿宋_GB2312"/>
          <w:color w:val="auto"/>
          <w:highlight w:val="none"/>
        </w:rPr>
        <w:t>预算法》属于公共财政支持范围，符合中央、地方事权支出责任划分原则；经检查</w:t>
      </w:r>
      <w:r>
        <w:rPr>
          <w:rFonts w:hint="eastAsia" w:ascii="仿宋_GB2312" w:hAnsi="仿宋_GB2312" w:eastAsia="仿宋_GB2312" w:cs="仿宋_GB2312"/>
          <w:color w:val="auto"/>
          <w:highlight w:val="none"/>
          <w:lang w:eastAsia="zh-Hans"/>
        </w:rPr>
        <w:t>我单位财政应用平台指标，</w:t>
      </w: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Hans"/>
        </w:rPr>
        <w:t>项目不存在重复</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综上</w:t>
      </w:r>
      <w:r>
        <w:rPr>
          <w:rFonts w:hint="eastAsia" w:ascii="仿宋_GB2312" w:hAnsi="仿宋_GB2312" w:eastAsia="仿宋_GB2312" w:cs="仿宋_GB2312"/>
          <w:color w:val="auto"/>
          <w:highlight w:val="none"/>
          <w:lang w:val="en-US" w:eastAsia="zh-CN"/>
        </w:rPr>
        <w:t>所述</w:t>
      </w:r>
      <w:r>
        <w:rPr>
          <w:rFonts w:hint="eastAsia" w:ascii="仿宋_GB2312" w:hAnsi="仿宋_GB2312" w:eastAsia="仿宋_GB2312" w:cs="仿宋_GB2312"/>
          <w:color w:val="auto"/>
          <w:highlight w:val="none"/>
        </w:rPr>
        <w:t>，该指标满分</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分，根据评分标准得</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w:t>
      </w:r>
      <w:r>
        <w:rPr>
          <w:rFonts w:hint="eastAsia" w:ascii="仿宋_GB2312" w:hAnsi="仿宋_GB2312" w:eastAsia="仿宋_GB2312" w:cs="仿宋_GB2312"/>
          <w:color w:val="auto"/>
          <w:highlight w:val="none"/>
          <w:lang w:eastAsia="zh-CN"/>
        </w:rPr>
        <w:t>，本项目立项依据充分</w:t>
      </w:r>
      <w:r>
        <w:rPr>
          <w:rFonts w:hint="eastAsia" w:ascii="仿宋_GB2312" w:hAnsi="仿宋_GB2312" w:eastAsia="仿宋_GB2312" w:cs="仿宋_GB2312"/>
          <w:color w:val="auto"/>
          <w:highlight w:val="none"/>
        </w:rPr>
        <w:t>。</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rPr>
        <w:t>（2）立项程序规范性：</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该</w:t>
      </w:r>
      <w:r>
        <w:rPr>
          <w:rFonts w:hint="eastAsia" w:ascii="仿宋_GB2312" w:hAnsi="仿宋_GB2312" w:eastAsia="仿宋_GB2312" w:cs="仿宋_GB2312"/>
          <w:color w:val="auto"/>
          <w:highlight w:val="none"/>
        </w:rPr>
        <w:t>项目按照规定的</w:t>
      </w:r>
      <w:r>
        <w:rPr>
          <w:rFonts w:hint="eastAsia" w:ascii="仿宋_GB2312" w:hAnsi="仿宋_GB2312" w:eastAsia="仿宋_GB2312" w:cs="仿宋_GB2312"/>
          <w:color w:val="auto"/>
          <w:highlight w:val="none"/>
          <w:lang w:val="en-US" w:eastAsia="zh-CN"/>
        </w:rPr>
        <w:t>项目申报</w:t>
      </w:r>
      <w:r>
        <w:rPr>
          <w:rFonts w:hint="eastAsia" w:ascii="仿宋_GB2312" w:hAnsi="仿宋_GB2312" w:eastAsia="仿宋_GB2312" w:cs="仿宋_GB2312"/>
          <w:color w:val="auto"/>
          <w:highlight w:val="none"/>
        </w:rPr>
        <w:t>程序申请设立</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事前已经过必要的集体决策</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单位按照程序向县财经委提交了资金申请报告、等相关</w:t>
      </w:r>
      <w:r>
        <w:rPr>
          <w:rFonts w:hint="eastAsia" w:ascii="仿宋_GB2312" w:hAnsi="仿宋_GB2312" w:eastAsia="仿宋_GB2312" w:cs="仿宋_GB2312"/>
          <w:color w:val="auto"/>
          <w:highlight w:val="none"/>
        </w:rPr>
        <w:t>符合要求</w:t>
      </w:r>
      <w:r>
        <w:rPr>
          <w:rFonts w:hint="eastAsia" w:ascii="仿宋_GB2312" w:hAnsi="仿宋_GB2312" w:eastAsia="仿宋_GB2312" w:cs="仿宋_GB2312"/>
          <w:color w:val="auto"/>
          <w:highlight w:val="none"/>
          <w:lang w:val="en-US" w:eastAsia="zh-CN"/>
        </w:rPr>
        <w:t>的申请</w:t>
      </w:r>
      <w:r>
        <w:rPr>
          <w:rFonts w:hint="eastAsia" w:ascii="仿宋_GB2312" w:hAnsi="仿宋_GB2312" w:eastAsia="仿宋_GB2312" w:cs="仿宋_GB2312"/>
          <w:color w:val="auto"/>
          <w:highlight w:val="none"/>
        </w:rPr>
        <w:t>材料</w:t>
      </w:r>
      <w:r>
        <w:rPr>
          <w:rFonts w:hint="eastAsia" w:ascii="仿宋_GB2312" w:hAnsi="仿宋_GB2312" w:eastAsia="仿宋_GB2312" w:cs="仿宋_GB2312"/>
          <w:color w:val="auto"/>
          <w:highlight w:val="none"/>
          <w:lang w:val="en-US" w:eastAsia="zh-CN"/>
        </w:rPr>
        <w:t>并通过审批</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综上，该指标满分</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分，根据评分标准得</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分</w:t>
      </w:r>
      <w:r>
        <w:rPr>
          <w:rFonts w:hint="eastAsia" w:ascii="仿宋_GB2312" w:hAnsi="仿宋_GB2312" w:eastAsia="仿宋_GB2312" w:cs="仿宋_GB2312"/>
          <w:color w:val="auto"/>
          <w:highlight w:val="none"/>
          <w:lang w:eastAsia="zh-CN"/>
        </w:rPr>
        <w:t>，本项目立项程序合规</w:t>
      </w:r>
      <w:r>
        <w:rPr>
          <w:rFonts w:hint="eastAsia" w:ascii="仿宋_GB2312" w:hAnsi="仿宋_GB2312" w:eastAsia="仿宋_GB2312" w:cs="仿宋_GB2312"/>
          <w:color w:val="auto"/>
          <w:highlight w:val="none"/>
        </w:rPr>
        <w:t>。</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2.绩效目标情况分析</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w:t>
      </w:r>
      <w:r>
        <w:rPr>
          <w:rFonts w:hint="eastAsia" w:ascii="仿宋_GB2312" w:hAnsi="仿宋_GB2312" w:eastAsia="仿宋_GB2312" w:cs="仿宋_GB2312"/>
          <w:b/>
          <w:bCs/>
          <w:color w:val="auto"/>
          <w:sz w:val="28"/>
          <w:szCs w:val="28"/>
          <w:highlight w:val="none"/>
          <w:lang w:val="en-US" w:eastAsia="zh-CN"/>
        </w:rPr>
        <w:t>1</w:t>
      </w:r>
      <w:r>
        <w:rPr>
          <w:rFonts w:hint="eastAsia" w:ascii="仿宋_GB2312" w:hAnsi="仿宋_GB2312" w:eastAsia="仿宋_GB2312" w:cs="仿宋_GB2312"/>
          <w:b/>
          <w:bCs/>
          <w:color w:val="auto"/>
          <w:sz w:val="28"/>
          <w:szCs w:val="28"/>
          <w:highlight w:val="none"/>
        </w:rPr>
        <w:t>）绩效目标合理性</w:t>
      </w:r>
      <w:r>
        <w:rPr>
          <w:rFonts w:hint="eastAsia" w:ascii="仿宋_GB2312" w:hAnsi="仿宋_GB2312" w:eastAsia="仿宋_GB2312" w:cs="仿宋_GB2312"/>
          <w:color w:val="auto"/>
          <w:sz w:val="28"/>
          <w:szCs w:val="28"/>
          <w:highlight w:val="none"/>
        </w:rPr>
        <w:t>：</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b w:val="0"/>
          <w:bCs w:val="0"/>
          <w:color w:val="auto"/>
          <w:kern w:val="2"/>
          <w:sz w:val="28"/>
          <w:szCs w:val="24"/>
          <w:highlight w:val="none"/>
          <w:lang w:val="en-US" w:eastAsia="zh-CN" w:bidi="ar-SA"/>
        </w:rPr>
        <w:t>①本项目已设置年度绩效目标，具体内容为：</w:t>
      </w:r>
      <w:r>
        <w:rPr>
          <w:rFonts w:hint="eastAsia" w:ascii="仿宋_GB2312" w:hAnsi="仿宋_GB2312" w:eastAsia="仿宋_GB2312" w:cs="仿宋_GB2312"/>
          <w:b w:val="0"/>
          <w:bCs w:val="0"/>
          <w:color w:val="auto"/>
          <w:highlight w:val="none"/>
          <w:shd w:val="clear" w:color="auto" w:fill="auto"/>
          <w:lang w:val="en-US" w:eastAsia="zh-CN"/>
        </w:rPr>
        <w:t>主要用于保障享受抚恤待遇的残疾军人（含伤残人民警察、伤残预备役人员和民兵民工、其他因公伤残人员）、烈属（含因公牺牲军人遗属、病故军人遗属）、在乡退伍红军老战士（含红军失散人员）、在乡复员军人、带病回乡退役军人、参战退役军人、参试退役军人、老烈士子女和农村籍60岁老军人的生活水平不低于当地居民的平均生活水平，解决优抚对象生活难的问题，为我们的优抚对象提供服务和帮助，充分发挥拥军优属的光荣传统。</w:t>
      </w:r>
    </w:p>
    <w:p>
      <w:pPr>
        <w:pageBreakBefore w:val="0"/>
        <w:kinsoku/>
        <w:wordWrap/>
        <w:topLinePunct w:val="0"/>
        <w:autoSpaceDE/>
        <w:autoSpaceDN/>
        <w:bidi w:val="0"/>
        <w:spacing w:line="570" w:lineRule="exact"/>
        <w:ind w:left="0" w:leftChars="0" w:firstLine="56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②本</w:t>
      </w:r>
      <w:r>
        <w:rPr>
          <w:rFonts w:hint="eastAsia" w:ascii="仿宋_GB2312" w:hAnsi="仿宋_GB2312" w:eastAsia="仿宋_GB2312" w:cs="仿宋_GB2312"/>
          <w:color w:val="auto"/>
          <w:highlight w:val="none"/>
          <w:lang w:eastAsia="zh-CN"/>
        </w:rPr>
        <w:t>项目绩效目标与实际工作内容具有相关性；</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③本项目按照绩效目标完成</w:t>
      </w:r>
      <w:r>
        <w:rPr>
          <w:rFonts w:hint="eastAsia" w:ascii="仿宋_GB2312" w:hAnsi="仿宋_GB2312" w:eastAsia="仿宋_GB2312" w:cs="仿宋_GB2312"/>
          <w:color w:val="auto"/>
          <w:highlight w:val="none"/>
          <w:lang w:val="en-US" w:eastAsia="zh-CN"/>
        </w:rPr>
        <w:t>了各项产出指标和效益指标</w:t>
      </w:r>
      <w:r>
        <w:rPr>
          <w:rFonts w:hint="eastAsia" w:ascii="仿宋_GB2312" w:hAnsi="仿宋_GB2312" w:eastAsia="仿宋_GB2312" w:cs="仿宋_GB2312"/>
          <w:color w:val="auto"/>
          <w:highlight w:val="none"/>
        </w:rPr>
        <w:t>，预期产出效益和效果符合正常的业绩水平。</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rPr>
        <w:t>④该项目批复</w:t>
      </w:r>
      <w:r>
        <w:rPr>
          <w:rFonts w:hint="eastAsia" w:ascii="仿宋_GB2312" w:hAnsi="仿宋_GB2312" w:eastAsia="仿宋_GB2312" w:cs="仿宋_GB2312"/>
          <w:color w:val="auto"/>
          <w:highlight w:val="none"/>
          <w:lang w:eastAsia="zh-CN"/>
        </w:rPr>
        <w:t>的</w:t>
      </w:r>
      <w:r>
        <w:rPr>
          <w:rFonts w:hint="eastAsia" w:ascii="仿宋_GB2312" w:hAnsi="仿宋_GB2312" w:eastAsia="仿宋_GB2312" w:cs="仿宋_GB2312"/>
          <w:color w:val="auto"/>
          <w:highlight w:val="none"/>
        </w:rPr>
        <w:t>预算金额为</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万元，《财政项目支出绩效目标表》中</w:t>
      </w:r>
      <w:r>
        <w:rPr>
          <w:rFonts w:hint="eastAsia" w:ascii="仿宋_GB2312" w:hAnsi="仿宋_GB2312" w:eastAsia="仿宋_GB2312" w:cs="仿宋_GB2312"/>
          <w:color w:val="auto"/>
          <w:highlight w:val="none"/>
          <w:lang w:val="en-US" w:eastAsia="zh-CN"/>
        </w:rPr>
        <w:t>全年</w:t>
      </w:r>
      <w:r>
        <w:rPr>
          <w:rFonts w:hint="eastAsia" w:ascii="仿宋_GB2312" w:hAnsi="仿宋_GB2312" w:eastAsia="仿宋_GB2312" w:cs="仿宋_GB2312"/>
          <w:color w:val="auto"/>
          <w:highlight w:val="none"/>
        </w:rPr>
        <w:t>预算金额为</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万元，预算确定的项目资金与预算确定的</w:t>
      </w:r>
      <w:r>
        <w:rPr>
          <w:rFonts w:hint="eastAsia" w:ascii="仿宋_GB2312" w:hAnsi="仿宋_GB2312" w:eastAsia="仿宋_GB2312" w:cs="仿宋_GB2312"/>
          <w:color w:val="auto"/>
          <w:highlight w:val="none"/>
          <w:lang w:val="en-US" w:eastAsia="zh-CN"/>
        </w:rPr>
        <w:t>项目投资额相匹配。</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w:t>
      </w:r>
      <w:r>
        <w:rPr>
          <w:rFonts w:hint="eastAsia" w:ascii="仿宋_GB2312" w:hAnsi="仿宋_GB2312" w:eastAsia="仿宋_GB2312" w:cs="仿宋_GB2312"/>
          <w:b/>
          <w:bCs/>
          <w:color w:val="auto"/>
          <w:sz w:val="28"/>
          <w:szCs w:val="28"/>
          <w:highlight w:val="none"/>
          <w:lang w:val="en-US" w:eastAsia="zh-CN"/>
        </w:rPr>
        <w:t>2</w:t>
      </w:r>
      <w:r>
        <w:rPr>
          <w:rFonts w:hint="eastAsia" w:ascii="仿宋_GB2312" w:hAnsi="仿宋_GB2312" w:eastAsia="仿宋_GB2312" w:cs="仿宋_GB2312"/>
          <w:b/>
          <w:bCs/>
          <w:color w:val="auto"/>
          <w:sz w:val="28"/>
          <w:szCs w:val="28"/>
          <w:highlight w:val="none"/>
        </w:rPr>
        <w:t>）绩效指标明确性：</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t>经检查，我单位年初设置的《项目支出绩效目标表》：</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①</w:t>
      </w:r>
      <w:r>
        <w:rPr>
          <w:rFonts w:hint="eastAsia" w:ascii="仿宋_GB2312" w:hAnsi="仿宋_GB2312" w:eastAsia="仿宋_GB2312" w:cs="仿宋_GB2312"/>
          <w:color w:val="auto"/>
          <w:highlight w:val="none"/>
          <w:lang w:val="en-US" w:eastAsia="zh-CN"/>
        </w:rPr>
        <w:t>已</w:t>
      </w:r>
      <w:r>
        <w:rPr>
          <w:rFonts w:hint="eastAsia" w:ascii="仿宋_GB2312" w:hAnsi="仿宋_GB2312" w:eastAsia="仿宋_GB2312" w:cs="仿宋_GB2312"/>
          <w:color w:val="auto"/>
          <w:highlight w:val="none"/>
          <w:lang w:eastAsia="zh-CN"/>
        </w:rPr>
        <w:t>将项目绩效目标细化分解为具体的绩效指标，</w:t>
      </w:r>
      <w:r>
        <w:rPr>
          <w:rFonts w:hint="eastAsia" w:ascii="仿宋_GB2312" w:hAnsi="仿宋_GB2312" w:eastAsia="仿宋_GB2312" w:cs="仿宋_GB2312"/>
          <w:color w:val="auto"/>
          <w:highlight w:val="none"/>
          <w:lang w:val="en-US" w:eastAsia="zh-CN"/>
        </w:rPr>
        <w:t>指标</w:t>
      </w:r>
      <w:r>
        <w:rPr>
          <w:rFonts w:hint="eastAsia" w:ascii="仿宋_GB2312" w:hAnsi="仿宋_GB2312" w:eastAsia="仿宋_GB2312" w:cs="仿宋_GB2312"/>
          <w:color w:val="auto"/>
          <w:highlight w:val="none"/>
          <w:lang w:eastAsia="zh-CN"/>
        </w:rPr>
        <w:t>量化率达70%以上；</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val="en-US" w:eastAsia="zh-CN"/>
        </w:rPr>
        <w:t>根据</w:t>
      </w:r>
      <w:r>
        <w:rPr>
          <w:rFonts w:hint="eastAsia" w:ascii="仿宋_GB2312" w:hAnsi="仿宋_GB2312" w:eastAsia="仿宋_GB2312" w:cs="仿宋_GB2312"/>
          <w:color w:val="auto"/>
          <w:highlight w:val="none"/>
          <w:lang w:eastAsia="zh-CN"/>
        </w:rPr>
        <w:t>《项目支出绩效目标表》，</w:t>
      </w:r>
      <w:r>
        <w:rPr>
          <w:rFonts w:hint="eastAsia" w:ascii="仿宋_GB2312" w:hAnsi="仿宋_GB2312" w:eastAsia="仿宋_GB2312" w:cs="仿宋_GB2312"/>
          <w:color w:val="auto"/>
          <w:highlight w:val="none"/>
          <w:lang w:val="en-US" w:eastAsia="zh-CN"/>
        </w:rPr>
        <w:t>我单位各项三级指标</w:t>
      </w:r>
      <w:r>
        <w:rPr>
          <w:rFonts w:hint="eastAsia" w:ascii="仿宋_GB2312" w:hAnsi="仿宋_GB2312" w:eastAsia="仿宋_GB2312" w:cs="仿宋_GB2312"/>
          <w:color w:val="auto"/>
          <w:highlight w:val="none"/>
          <w:lang w:eastAsia="zh-CN"/>
        </w:rPr>
        <w:t>通过清晰、可衡量的指标值予以体现；</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t>③三级指标的年度指标值与年度绩效目标中任务数一致。</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Cs w:val="28"/>
          <w:highlight w:val="none"/>
        </w:rPr>
      </w:pPr>
      <w:r>
        <w:rPr>
          <w:rFonts w:hint="eastAsia" w:ascii="仿宋_GB2312" w:hAnsi="仿宋_GB2312" w:eastAsia="仿宋_GB2312" w:cs="仿宋_GB2312"/>
          <w:color w:val="auto"/>
          <w:highlight w:val="none"/>
          <w:lang w:eastAsia="zh-CN"/>
        </w:rPr>
        <w:t>综上所述，本指标满分为</w:t>
      </w: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lang w:eastAsia="zh-CN"/>
        </w:rPr>
        <w:t>分，根</w:t>
      </w:r>
      <w:r>
        <w:rPr>
          <w:rFonts w:hint="eastAsia" w:ascii="仿宋_GB2312" w:hAnsi="仿宋_GB2312" w:eastAsia="仿宋_GB2312" w:cs="仿宋_GB2312"/>
          <w:color w:val="auto"/>
          <w:szCs w:val="28"/>
          <w:highlight w:val="none"/>
          <w:lang w:eastAsia="zh-CN"/>
        </w:rPr>
        <w:t>据评分标准得</w:t>
      </w:r>
      <w:r>
        <w:rPr>
          <w:rFonts w:hint="eastAsia" w:ascii="仿宋_GB2312" w:hAnsi="仿宋_GB2312" w:eastAsia="仿宋_GB2312" w:cs="仿宋_GB2312"/>
          <w:color w:val="auto"/>
          <w:szCs w:val="28"/>
          <w:highlight w:val="none"/>
          <w:lang w:val="en-US" w:eastAsia="zh-CN"/>
        </w:rPr>
        <w:t>3</w:t>
      </w:r>
      <w:r>
        <w:rPr>
          <w:rFonts w:hint="eastAsia" w:ascii="仿宋_GB2312" w:hAnsi="仿宋_GB2312" w:eastAsia="仿宋_GB2312" w:cs="仿宋_GB2312"/>
          <w:color w:val="auto"/>
          <w:szCs w:val="28"/>
          <w:highlight w:val="none"/>
          <w:lang w:eastAsia="zh-CN"/>
        </w:rPr>
        <w:t>分，本项目所设置绩效指标明确。</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3.资金投入情况分析</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w:t>
      </w:r>
      <w:r>
        <w:rPr>
          <w:rFonts w:hint="eastAsia" w:ascii="仿宋_GB2312" w:hAnsi="仿宋_GB2312" w:eastAsia="仿宋_GB2312" w:cs="仿宋_GB2312"/>
          <w:b/>
          <w:bCs/>
          <w:color w:val="auto"/>
          <w:sz w:val="28"/>
          <w:szCs w:val="28"/>
          <w:highlight w:val="none"/>
          <w:lang w:val="en-US" w:eastAsia="zh-CN"/>
        </w:rPr>
        <w:t>1</w:t>
      </w:r>
      <w:r>
        <w:rPr>
          <w:rFonts w:hint="eastAsia" w:ascii="仿宋_GB2312" w:hAnsi="仿宋_GB2312" w:eastAsia="仿宋_GB2312" w:cs="仿宋_GB2312"/>
          <w:b/>
          <w:bCs/>
          <w:color w:val="auto"/>
          <w:sz w:val="28"/>
          <w:szCs w:val="28"/>
          <w:highlight w:val="none"/>
        </w:rPr>
        <w:t>）预算编制科学性：</w:t>
      </w:r>
      <w:r>
        <w:rPr>
          <w:rFonts w:hint="eastAsia" w:ascii="仿宋_GB2312" w:hAnsi="仿宋_GB2312" w:eastAsia="仿宋_GB2312" w:cs="仿宋_GB2312"/>
          <w:color w:val="auto"/>
          <w:sz w:val="28"/>
          <w:szCs w:val="28"/>
          <w:highlight w:val="none"/>
        </w:rPr>
        <w:t xml:space="preserve"> </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①本项目预算编制通过前期调研</w:t>
      </w:r>
      <w:r>
        <w:rPr>
          <w:rFonts w:hint="eastAsia" w:ascii="仿宋_GB2312" w:hAnsi="仿宋_GB2312" w:eastAsia="仿宋_GB2312" w:cs="仿宋_GB2312"/>
          <w:color w:val="auto"/>
          <w:sz w:val="28"/>
          <w:szCs w:val="28"/>
          <w:highlight w:val="none"/>
          <w:lang w:val="en-US" w:eastAsia="zh-CN"/>
        </w:rPr>
        <w:t>和类似项目对比分析</w:t>
      </w:r>
      <w:r>
        <w:rPr>
          <w:rFonts w:hint="eastAsia" w:ascii="仿宋_GB2312" w:hAnsi="仿宋_GB2312" w:eastAsia="仿宋_GB2312" w:cs="仿宋_GB2312"/>
          <w:color w:val="auto"/>
          <w:sz w:val="28"/>
          <w:szCs w:val="28"/>
          <w:highlight w:val="none"/>
        </w:rPr>
        <w:t>，预算编制较科学且经过论证</w:t>
      </w:r>
      <w:r>
        <w:rPr>
          <w:rFonts w:hint="eastAsia" w:ascii="仿宋_GB2312" w:hAnsi="仿宋_GB2312" w:eastAsia="仿宋_GB2312" w:cs="仿宋_GB2312"/>
          <w:color w:val="auto"/>
          <w:sz w:val="28"/>
          <w:szCs w:val="28"/>
          <w:highlight w:val="none"/>
          <w:lang w:eastAsia="zh-CN"/>
        </w:rPr>
        <w:t>；</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②</w:t>
      </w:r>
      <w:r>
        <w:rPr>
          <w:rFonts w:hint="eastAsia" w:ascii="仿宋_GB2312" w:hAnsi="仿宋_GB2312" w:eastAsia="仿宋_GB2312" w:cs="仿宋_GB2312"/>
          <w:color w:val="auto"/>
          <w:sz w:val="28"/>
          <w:szCs w:val="28"/>
          <w:highlight w:val="none"/>
          <w:lang w:val="en-US" w:eastAsia="zh-CN"/>
        </w:rPr>
        <w:t>项目全年预算资金</w:t>
      </w:r>
      <w:r>
        <w:rPr>
          <w:rFonts w:hint="eastAsia" w:ascii="仿宋_GB2312" w:hAnsi="仿宋_GB2312" w:eastAsia="仿宋_GB2312" w:cs="仿宋_GB2312"/>
          <w:color w:val="auto"/>
          <w:sz w:val="28"/>
          <w:szCs w:val="28"/>
          <w:highlight w:val="none"/>
        </w:rPr>
        <w:t>为</w:t>
      </w:r>
      <w:r>
        <w:rPr>
          <w:rFonts w:hint="eastAsia" w:ascii="仿宋_GB2312" w:hAnsi="仿宋_GB2312" w:eastAsia="仿宋_GB2312" w:cs="仿宋_GB2312"/>
          <w:color w:val="auto"/>
          <w:sz w:val="28"/>
          <w:szCs w:val="28"/>
          <w:highlight w:val="none"/>
          <w:lang w:val="en-US" w:eastAsia="zh-CN"/>
        </w:rPr>
        <w:t>233.45</w:t>
      </w:r>
      <w:r>
        <w:rPr>
          <w:rFonts w:hint="eastAsia" w:ascii="仿宋_GB2312" w:hAnsi="仿宋_GB2312" w:eastAsia="仿宋_GB2312" w:cs="仿宋_GB2312"/>
          <w:color w:val="auto"/>
          <w:sz w:val="28"/>
          <w:szCs w:val="28"/>
          <w:highlight w:val="none"/>
        </w:rPr>
        <w:t>万元，主要用于支付</w:t>
      </w:r>
      <w:r>
        <w:rPr>
          <w:rFonts w:hint="eastAsia" w:ascii="仿宋_GB2312" w:hAnsi="仿宋_GB2312" w:eastAsia="仿宋_GB2312" w:cs="仿宋_GB2312"/>
          <w:color w:val="auto"/>
          <w:sz w:val="28"/>
          <w:szCs w:val="28"/>
          <w:highlight w:val="none"/>
          <w:lang w:val="en-US" w:eastAsia="zh-CN"/>
        </w:rPr>
        <w:t>优抚对象补助</w:t>
      </w:r>
      <w:r>
        <w:rPr>
          <w:rFonts w:hint="eastAsia" w:ascii="仿宋_GB2312" w:hAnsi="仿宋_GB2312" w:eastAsia="仿宋_GB2312" w:cs="仿宋_GB2312"/>
          <w:color w:val="auto"/>
          <w:sz w:val="28"/>
          <w:szCs w:val="28"/>
          <w:highlight w:val="none"/>
        </w:rPr>
        <w:t>资金，</w:t>
      </w:r>
      <w:r>
        <w:rPr>
          <w:rFonts w:hint="eastAsia" w:ascii="仿宋_GB2312" w:hAnsi="仿宋_GB2312" w:eastAsia="仿宋_GB2312" w:cs="仿宋_GB2312"/>
          <w:color w:val="auto"/>
          <w:highlight w:val="none"/>
          <w:lang w:eastAsia="zh-CN"/>
        </w:rPr>
        <w:t>预算内容与项目内容匹配；</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sz w:val="28"/>
          <w:szCs w:val="28"/>
          <w:highlight w:val="none"/>
        </w:rPr>
        <w:t>③我单位在预算申请中严格按照单位标准和数量进行核算，</w:t>
      </w:r>
      <w:r>
        <w:rPr>
          <w:rFonts w:hint="eastAsia" w:ascii="仿宋_GB2312" w:hAnsi="仿宋_GB2312" w:eastAsia="仿宋_GB2312" w:cs="仿宋_GB2312"/>
          <w:color w:val="auto"/>
          <w:highlight w:val="none"/>
          <w:lang w:eastAsia="zh-CN"/>
        </w:rPr>
        <w:t>预算额度测算依据充分，按照标准编制；</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highlight w:val="none"/>
        </w:rPr>
        <w:t>④</w:t>
      </w:r>
      <w:r>
        <w:rPr>
          <w:rFonts w:hint="eastAsia" w:ascii="仿宋_GB2312" w:hAnsi="仿宋_GB2312" w:eastAsia="仿宋_GB2312" w:cs="仿宋_GB2312"/>
          <w:color w:val="auto"/>
          <w:sz w:val="28"/>
          <w:szCs w:val="28"/>
          <w:highlight w:val="none"/>
          <w:lang w:val="en-US" w:eastAsia="zh-CN"/>
        </w:rPr>
        <w:t>本项目资金主要用于优抚对象补助</w:t>
      </w:r>
      <w:r>
        <w:rPr>
          <w:rFonts w:hint="eastAsia" w:ascii="仿宋_GB2312" w:hAnsi="仿宋_GB2312" w:eastAsia="仿宋_GB2312" w:cs="仿宋_GB2312"/>
          <w:color w:val="auto"/>
          <w:sz w:val="28"/>
          <w:szCs w:val="28"/>
          <w:highlight w:val="none"/>
        </w:rPr>
        <w:t>费用</w:t>
      </w:r>
      <w:r>
        <w:rPr>
          <w:rFonts w:hint="eastAsia" w:ascii="仿宋_GB2312" w:hAnsi="仿宋_GB2312" w:eastAsia="仿宋_GB2312" w:cs="仿宋_GB2312"/>
          <w:color w:val="auto"/>
          <w:sz w:val="28"/>
          <w:szCs w:val="28"/>
          <w:highlight w:val="none"/>
          <w:lang w:val="en-US" w:eastAsia="zh-CN"/>
        </w:rPr>
        <w:t>174.63</w:t>
      </w:r>
      <w:r>
        <w:rPr>
          <w:rFonts w:hint="eastAsia" w:ascii="仿宋_GB2312" w:hAnsi="仿宋_GB2312" w:eastAsia="仿宋_GB2312" w:cs="仿宋_GB2312"/>
          <w:color w:val="auto"/>
          <w:sz w:val="28"/>
          <w:szCs w:val="28"/>
          <w:highlight w:val="none"/>
        </w:rPr>
        <w:t>万元。预算确定资金量与实际工作任务相匹配。</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综上所述，本指标满分为</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lang w:eastAsia="zh-CN"/>
        </w:rPr>
        <w:t>分，根据评分标准得</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w:t>
      </w:r>
      <w:r>
        <w:rPr>
          <w:rFonts w:hint="eastAsia" w:ascii="仿宋_GB2312" w:hAnsi="仿宋_GB2312" w:eastAsia="仿宋_GB2312" w:cs="仿宋_GB2312"/>
          <w:b/>
          <w:bCs/>
          <w:color w:val="auto"/>
          <w:sz w:val="28"/>
          <w:szCs w:val="28"/>
          <w:highlight w:val="none"/>
          <w:lang w:val="en-US" w:eastAsia="zh-CN"/>
        </w:rPr>
        <w:t>2</w:t>
      </w:r>
      <w:r>
        <w:rPr>
          <w:rFonts w:hint="eastAsia" w:ascii="仿宋_GB2312" w:hAnsi="仿宋_GB2312" w:eastAsia="仿宋_GB2312" w:cs="仿宋_GB2312"/>
          <w:b/>
          <w:bCs/>
          <w:color w:val="auto"/>
          <w:sz w:val="28"/>
          <w:szCs w:val="28"/>
          <w:highlight w:val="none"/>
        </w:rPr>
        <w:t>）资金分配合理性：</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highlight w:val="none"/>
          <w:lang w:bidi="ar"/>
        </w:rPr>
        <w:t>本项目实际分配资金以《</w:t>
      </w:r>
      <w:r>
        <w:rPr>
          <w:rFonts w:hint="eastAsia" w:ascii="仿宋_GB2312" w:hAnsi="仿宋_GB2312" w:eastAsia="仿宋_GB2312" w:cs="仿宋_GB2312"/>
          <w:color w:val="auto"/>
          <w:highlight w:val="none"/>
          <w:lang w:val="en-US" w:eastAsia="zh-CN" w:bidi="ar"/>
        </w:rPr>
        <w:t>关于调整部分优抚对象等人员抚恤和生活补助标准的通知</w:t>
      </w:r>
      <w:r>
        <w:rPr>
          <w:rFonts w:hint="eastAsia" w:ascii="仿宋_GB2312" w:hAnsi="仿宋_GB2312" w:eastAsia="仿宋_GB2312" w:cs="仿宋_GB2312"/>
          <w:color w:val="auto"/>
          <w:highlight w:val="none"/>
          <w:lang w:bidi="ar"/>
        </w:rPr>
        <w:t>》</w:t>
      </w:r>
      <w:r>
        <w:rPr>
          <w:rFonts w:hint="eastAsia" w:ascii="仿宋_GB2312" w:hAnsi="仿宋_GB2312" w:eastAsia="仿宋_GB2312" w:cs="仿宋_GB2312"/>
          <w:color w:val="auto"/>
          <w:highlight w:val="none"/>
          <w:lang w:eastAsia="zh-Hans" w:bidi="ar"/>
        </w:rPr>
        <w:t>为依据进行资金分配，预算资金分配依据充分</w:t>
      </w:r>
      <w:r>
        <w:rPr>
          <w:rFonts w:hint="eastAsia" w:ascii="仿宋_GB2312" w:hAnsi="仿宋_GB2312" w:eastAsia="仿宋_GB2312" w:cs="仿宋_GB2312"/>
          <w:color w:val="auto"/>
          <w:highlight w:val="none"/>
          <w:lang w:bidi="ar"/>
        </w:rPr>
        <w:t>。根据《</w:t>
      </w:r>
      <w:r>
        <w:rPr>
          <w:rFonts w:hint="eastAsia" w:ascii="仿宋_GB2312" w:hAnsi="仿宋_GB2312" w:eastAsia="仿宋_GB2312" w:cs="仿宋_GB2312"/>
          <w:color w:val="auto"/>
          <w:highlight w:val="none"/>
          <w:lang w:val="en-US" w:eastAsia="zh-CN" w:bidi="ar"/>
        </w:rPr>
        <w:t>关于调整部分优抚对象等人员抚恤和生活补助标准的通知</w:t>
      </w:r>
      <w:r>
        <w:rPr>
          <w:rFonts w:hint="eastAsia" w:ascii="仿宋_GB2312" w:hAnsi="仿宋_GB2312" w:eastAsia="仿宋_GB2312" w:cs="仿宋_GB2312"/>
          <w:color w:val="auto"/>
          <w:highlight w:val="none"/>
          <w:lang w:bidi="ar"/>
        </w:rPr>
        <w:t>》文件显示，本项目实际到位资金</w:t>
      </w:r>
      <w:r>
        <w:rPr>
          <w:rFonts w:hint="eastAsia" w:ascii="仿宋_GB2312" w:hAnsi="仿宋_GB2312" w:eastAsia="仿宋_GB2312" w:cs="仿宋_GB2312"/>
          <w:color w:val="auto"/>
          <w:highlight w:val="none"/>
          <w:lang w:val="en-US" w:eastAsia="zh-CN" w:bidi="ar"/>
        </w:rPr>
        <w:t>233.45</w:t>
      </w:r>
      <w:r>
        <w:rPr>
          <w:rFonts w:hint="eastAsia" w:ascii="仿宋_GB2312" w:hAnsi="仿宋_GB2312" w:eastAsia="仿宋_GB2312" w:cs="仿宋_GB2312"/>
          <w:color w:val="auto"/>
          <w:highlight w:val="none"/>
          <w:lang w:bidi="ar"/>
        </w:rPr>
        <w:t>万元，实际分配资金与我单位提交申请的资金额度一致，</w:t>
      </w:r>
      <w:r>
        <w:rPr>
          <w:rFonts w:hint="eastAsia" w:ascii="仿宋_GB2312" w:hAnsi="仿宋_GB2312" w:eastAsia="仿宋_GB2312" w:cs="仿宋_GB2312"/>
          <w:color w:val="auto"/>
          <w:highlight w:val="none"/>
          <w:lang w:eastAsia="zh-Hans" w:bidi="ar"/>
        </w:rPr>
        <w:t>资金分配额度合理，与</w:t>
      </w:r>
      <w:r>
        <w:rPr>
          <w:rFonts w:hint="eastAsia" w:ascii="仿宋_GB2312" w:hAnsi="仿宋_GB2312" w:eastAsia="仿宋_GB2312" w:cs="仿宋_GB2312"/>
          <w:color w:val="auto"/>
          <w:highlight w:val="none"/>
          <w:lang w:bidi="ar"/>
        </w:rPr>
        <w:t>我</w:t>
      </w:r>
      <w:r>
        <w:rPr>
          <w:rFonts w:hint="eastAsia" w:ascii="仿宋_GB2312" w:hAnsi="仿宋_GB2312" w:eastAsia="仿宋_GB2312" w:cs="仿宋_GB2312"/>
          <w:color w:val="auto"/>
          <w:highlight w:val="none"/>
          <w:lang w:eastAsia="zh-Hans" w:bidi="ar"/>
        </w:rPr>
        <w:t>单位实际</w:t>
      </w:r>
      <w:r>
        <w:rPr>
          <w:rFonts w:hint="eastAsia" w:ascii="仿宋_GB2312" w:hAnsi="仿宋_GB2312" w:eastAsia="仿宋_GB2312" w:cs="仿宋_GB2312"/>
          <w:color w:val="auto"/>
          <w:highlight w:val="none"/>
          <w:lang w:bidi="ar"/>
        </w:rPr>
        <w:t>需求</w:t>
      </w:r>
      <w:r>
        <w:rPr>
          <w:rFonts w:hint="eastAsia" w:ascii="仿宋_GB2312" w:hAnsi="仿宋_GB2312" w:eastAsia="仿宋_GB2312" w:cs="仿宋_GB2312"/>
          <w:color w:val="auto"/>
          <w:highlight w:val="none"/>
          <w:lang w:eastAsia="zh-Hans" w:bidi="ar"/>
        </w:rPr>
        <w:t>相适应</w:t>
      </w:r>
      <w:r>
        <w:rPr>
          <w:rFonts w:hint="eastAsia" w:ascii="仿宋_GB2312" w:hAnsi="仿宋_GB2312" w:eastAsia="仿宋_GB2312" w:cs="仿宋_GB2312"/>
          <w:color w:val="auto"/>
          <w:highlight w:val="none"/>
          <w:lang w:bidi="ar"/>
        </w:rPr>
        <w:t>。</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综上所述，本指标满分为</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分，根据评分标准得</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分，本项目资金分配合理。</w:t>
      </w:r>
    </w:p>
    <w:p>
      <w:pPr>
        <w:pStyle w:val="4"/>
        <w:pageBreakBefore w:val="0"/>
        <w:kinsoku/>
        <w:wordWrap/>
        <w:topLinePunct w:val="0"/>
        <w:autoSpaceDE/>
        <w:autoSpaceDN/>
        <w:bidi w:val="0"/>
        <w:spacing w:line="570" w:lineRule="exact"/>
        <w:textAlignment w:val="auto"/>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（二）项目过程情况</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项目过程类指标包括资金管理和组织实施两方面的内容，由</w:t>
      </w:r>
      <w:r>
        <w:rPr>
          <w:rFonts w:hint="eastAsia" w:ascii="仿宋_GB2312" w:hAnsi="仿宋_GB2312" w:eastAsia="仿宋_GB2312" w:cs="仿宋_GB2312"/>
          <w:color w:val="auto"/>
          <w:highlight w:val="none"/>
          <w:lang w:eastAsia="zh-CN"/>
        </w:rPr>
        <w:t>2个二级指标和5个三级指标构成</w:t>
      </w:r>
      <w:r>
        <w:rPr>
          <w:rFonts w:hint="eastAsia" w:ascii="仿宋_GB2312" w:hAnsi="仿宋_GB2312" w:eastAsia="仿宋_GB2312" w:cs="仿宋_GB2312"/>
          <w:color w:val="auto"/>
          <w:sz w:val="28"/>
          <w:szCs w:val="28"/>
          <w:highlight w:val="none"/>
        </w:rPr>
        <w:t>，权重分为</w:t>
      </w:r>
      <w:r>
        <w:rPr>
          <w:rFonts w:hint="eastAsia" w:ascii="仿宋_GB2312" w:hAnsi="仿宋_GB2312" w:eastAsia="仿宋_GB2312" w:cs="仿宋_GB2312"/>
          <w:color w:val="auto"/>
          <w:sz w:val="28"/>
          <w:szCs w:val="28"/>
          <w:highlight w:val="none"/>
          <w:lang w:val="en-US" w:eastAsia="zh-CN"/>
        </w:rPr>
        <w:t>20</w:t>
      </w:r>
      <w:r>
        <w:rPr>
          <w:rFonts w:hint="eastAsia" w:ascii="仿宋_GB2312" w:hAnsi="仿宋_GB2312" w:eastAsia="仿宋_GB2312" w:cs="仿宋_GB2312"/>
          <w:color w:val="auto"/>
          <w:sz w:val="28"/>
          <w:szCs w:val="28"/>
          <w:highlight w:val="none"/>
        </w:rPr>
        <w:t>分，实际得分</w:t>
      </w:r>
      <w:r>
        <w:rPr>
          <w:rFonts w:hint="eastAsia" w:ascii="仿宋_GB2312" w:hAnsi="仿宋_GB2312" w:eastAsia="仿宋_GB2312" w:cs="仿宋_GB2312"/>
          <w:color w:val="auto"/>
          <w:sz w:val="28"/>
          <w:szCs w:val="28"/>
          <w:highlight w:val="none"/>
          <w:lang w:val="en-US" w:eastAsia="zh-CN"/>
        </w:rPr>
        <w:t>18.99</w:t>
      </w:r>
      <w:r>
        <w:rPr>
          <w:rFonts w:hint="eastAsia" w:ascii="仿宋_GB2312" w:hAnsi="仿宋_GB2312" w:eastAsia="仿宋_GB2312" w:cs="仿宋_GB2312"/>
          <w:color w:val="auto"/>
          <w:sz w:val="28"/>
          <w:szCs w:val="28"/>
          <w:highlight w:val="none"/>
        </w:rPr>
        <w:t>分。</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1.资金管理情况分析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（1）资金到位率：</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本项目预算资金为</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万元，其中：</w:t>
      </w:r>
      <w:r>
        <w:rPr>
          <w:rFonts w:hint="eastAsia" w:ascii="仿宋_GB2312" w:hAnsi="仿宋_GB2312" w:eastAsia="仿宋_GB2312" w:cs="仿宋_GB2312"/>
          <w:color w:val="auto"/>
          <w:highlight w:val="none"/>
          <w:lang w:val="en-US" w:eastAsia="zh-CN"/>
        </w:rPr>
        <w:t>上级</w:t>
      </w:r>
      <w:r>
        <w:rPr>
          <w:rFonts w:hint="eastAsia" w:ascii="仿宋_GB2312" w:hAnsi="仿宋_GB2312" w:eastAsia="仿宋_GB2312" w:cs="仿宋_GB2312"/>
          <w:color w:val="auto"/>
          <w:highlight w:val="none"/>
        </w:rPr>
        <w:t>财政安排资金</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万元，其他资金</w:t>
      </w:r>
      <w:r>
        <w:rPr>
          <w:rFonts w:hint="eastAsia" w:ascii="仿宋_GB2312" w:hAnsi="仿宋_GB2312" w:eastAsia="仿宋_GB2312" w:cs="仿宋_GB2312"/>
          <w:color w:val="auto"/>
          <w:highlight w:val="none"/>
          <w:lang w:val="en-US" w:eastAsia="zh-CN"/>
        </w:rPr>
        <w:t>0</w:t>
      </w:r>
      <w:r>
        <w:rPr>
          <w:rFonts w:hint="eastAsia" w:ascii="仿宋_GB2312" w:hAnsi="仿宋_GB2312" w:eastAsia="仿宋_GB2312" w:cs="仿宋_GB2312"/>
          <w:color w:val="auto"/>
          <w:highlight w:val="none"/>
        </w:rPr>
        <w:t>万元，实际到位资金</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highlight w:val="none"/>
        </w:rPr>
        <w:t>万元，资金到位率=（实际到位资金/预算资金）×100%=（</w:t>
      </w:r>
      <w:r>
        <w:rPr>
          <w:rFonts w:hint="eastAsia" w:ascii="仿宋_GB2312" w:hAnsi="仿宋_GB2312" w:eastAsia="仿宋_GB2312" w:cs="仿宋_GB2312"/>
          <w:color w:val="auto"/>
          <w:highlight w:val="none"/>
          <w:lang w:val="en-US" w:eastAsia="zh-CN"/>
        </w:rPr>
        <w:t>233.45233.45</w:t>
      </w:r>
      <w:r>
        <w:rPr>
          <w:rFonts w:hint="eastAsia" w:ascii="仿宋_GB2312" w:hAnsi="仿宋_GB2312" w:eastAsia="仿宋_GB2312" w:cs="仿宋_GB2312"/>
          <w:color w:val="auto"/>
          <w:highlight w:val="none"/>
        </w:rPr>
        <w:t>）*100%=</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rPr>
        <w:t>%。得分=资金到位率*分值=</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rPr>
        <w:t>综上所述，本指标满分为</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分，根据评分标准得</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分,本项目资金到位率为</w:t>
      </w:r>
      <w:r>
        <w:rPr>
          <w:rFonts w:hint="eastAsia" w:ascii="仿宋_GB2312" w:hAnsi="仿宋_GB2312" w:eastAsia="仿宋_GB2312" w:cs="仿宋_GB2312"/>
          <w:color w:val="auto"/>
          <w:highlight w:val="none"/>
          <w:lang w:val="en-US" w:eastAsia="zh-CN"/>
        </w:rPr>
        <w:t>100</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（2）预算执行率：</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本项目</w:t>
      </w:r>
      <w:r>
        <w:rPr>
          <w:rFonts w:hint="eastAsia" w:ascii="仿宋_GB2312" w:hAnsi="仿宋_GB2312" w:eastAsia="仿宋_GB2312" w:cs="仿宋_GB2312"/>
          <w:color w:val="auto"/>
          <w:sz w:val="28"/>
          <w:szCs w:val="28"/>
          <w:highlight w:val="none"/>
          <w:lang w:val="en-US" w:eastAsia="zh-CN"/>
        </w:rPr>
        <w:t>到位</w:t>
      </w:r>
      <w:r>
        <w:rPr>
          <w:rFonts w:hint="eastAsia" w:ascii="仿宋_GB2312" w:hAnsi="仿宋_GB2312" w:eastAsia="仿宋_GB2312" w:cs="仿宋_GB2312"/>
          <w:color w:val="auto"/>
          <w:sz w:val="28"/>
          <w:szCs w:val="28"/>
          <w:highlight w:val="none"/>
        </w:rPr>
        <w:t>资金为</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sz w:val="28"/>
          <w:szCs w:val="28"/>
          <w:highlight w:val="none"/>
        </w:rPr>
        <w:t>万元，实际</w:t>
      </w:r>
      <w:r>
        <w:rPr>
          <w:rFonts w:hint="eastAsia" w:ascii="仿宋_GB2312" w:hAnsi="仿宋_GB2312" w:eastAsia="仿宋_GB2312" w:cs="仿宋_GB2312"/>
          <w:color w:val="auto"/>
          <w:sz w:val="28"/>
          <w:szCs w:val="28"/>
          <w:highlight w:val="none"/>
          <w:lang w:val="en-US" w:eastAsia="zh-CN"/>
        </w:rPr>
        <w:t>支出</w:t>
      </w:r>
      <w:r>
        <w:rPr>
          <w:rFonts w:hint="eastAsia" w:ascii="仿宋_GB2312" w:hAnsi="仿宋_GB2312" w:eastAsia="仿宋_GB2312" w:cs="仿宋_GB2312"/>
          <w:color w:val="auto"/>
          <w:sz w:val="28"/>
          <w:szCs w:val="28"/>
          <w:highlight w:val="none"/>
        </w:rPr>
        <w:t>资金</w:t>
      </w:r>
      <w:r>
        <w:rPr>
          <w:rFonts w:hint="eastAsia" w:ascii="仿宋_GB2312" w:hAnsi="仿宋_GB2312" w:eastAsia="仿宋_GB2312" w:cs="仿宋_GB2312"/>
          <w:color w:val="auto"/>
          <w:sz w:val="28"/>
          <w:szCs w:val="28"/>
          <w:highlight w:val="none"/>
          <w:lang w:val="en-US" w:eastAsia="zh-CN"/>
        </w:rPr>
        <w:t>174.63</w:t>
      </w:r>
      <w:r>
        <w:rPr>
          <w:rFonts w:hint="eastAsia" w:ascii="仿宋_GB2312" w:hAnsi="仿宋_GB2312" w:eastAsia="仿宋_GB2312" w:cs="仿宋_GB2312"/>
          <w:color w:val="auto"/>
          <w:sz w:val="28"/>
          <w:szCs w:val="28"/>
          <w:highlight w:val="none"/>
        </w:rPr>
        <w:t>万元，预算执行率=（实际支出资金/实际到位资金）×100%=（</w:t>
      </w:r>
      <w:r>
        <w:rPr>
          <w:rFonts w:hint="eastAsia" w:ascii="仿宋_GB2312" w:hAnsi="仿宋_GB2312" w:eastAsia="仿宋_GB2312" w:cs="仿宋_GB2312"/>
          <w:color w:val="auto"/>
          <w:sz w:val="28"/>
          <w:szCs w:val="28"/>
          <w:highlight w:val="none"/>
          <w:lang w:val="en-US" w:eastAsia="zh-CN"/>
        </w:rPr>
        <w:t>174.63</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highlight w:val="none"/>
          <w:lang w:val="en-US" w:eastAsia="zh-CN"/>
        </w:rPr>
        <w:t>233.45</w:t>
      </w:r>
      <w:r>
        <w:rPr>
          <w:rFonts w:hint="eastAsia" w:ascii="仿宋_GB2312" w:hAnsi="仿宋_GB2312" w:eastAsia="仿宋_GB2312" w:cs="仿宋_GB2312"/>
          <w:color w:val="auto"/>
          <w:sz w:val="28"/>
          <w:szCs w:val="28"/>
          <w:highlight w:val="none"/>
        </w:rPr>
        <w:t>）×100%=</w:t>
      </w:r>
      <w:r>
        <w:rPr>
          <w:rFonts w:hint="eastAsia" w:ascii="仿宋_GB2312" w:hAnsi="仿宋_GB2312" w:eastAsia="仿宋_GB2312" w:cs="仿宋_GB2312"/>
          <w:color w:val="auto"/>
          <w:sz w:val="28"/>
          <w:szCs w:val="28"/>
          <w:highlight w:val="none"/>
          <w:lang w:val="en-US" w:eastAsia="zh-CN"/>
        </w:rPr>
        <w:t>74.8</w:t>
      </w:r>
      <w:r>
        <w:rPr>
          <w:rFonts w:hint="eastAsia" w:ascii="仿宋_GB2312" w:hAnsi="仿宋_GB2312" w:eastAsia="仿宋_GB2312" w:cs="仿宋_GB2312"/>
          <w:color w:val="auto"/>
          <w:sz w:val="28"/>
          <w:szCs w:val="28"/>
          <w:highlight w:val="none"/>
        </w:rPr>
        <w:t>%。</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综上所述，本指标满分为</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分，根据评分标准得</w:t>
      </w:r>
      <w:r>
        <w:rPr>
          <w:rFonts w:hint="eastAsia" w:ascii="仿宋_GB2312" w:hAnsi="仿宋_GB2312" w:eastAsia="仿宋_GB2312" w:cs="仿宋_GB2312"/>
          <w:color w:val="auto"/>
          <w:sz w:val="28"/>
          <w:szCs w:val="28"/>
          <w:highlight w:val="none"/>
          <w:lang w:val="en-US" w:eastAsia="zh-CN"/>
        </w:rPr>
        <w:t>2.99</w:t>
      </w:r>
      <w:r>
        <w:rPr>
          <w:rFonts w:hint="eastAsia" w:ascii="仿宋_GB2312" w:hAnsi="仿宋_GB2312" w:eastAsia="仿宋_GB2312" w:cs="仿宋_GB2312"/>
          <w:color w:val="auto"/>
          <w:sz w:val="28"/>
          <w:szCs w:val="28"/>
          <w:highlight w:val="none"/>
        </w:rPr>
        <w:t>分,本项目</w:t>
      </w:r>
      <w:r>
        <w:rPr>
          <w:rFonts w:hint="eastAsia" w:ascii="仿宋_GB2312" w:hAnsi="仿宋_GB2312" w:eastAsia="仿宋_GB2312" w:cs="仿宋_GB2312"/>
          <w:color w:val="auto"/>
          <w:sz w:val="28"/>
          <w:szCs w:val="28"/>
          <w:highlight w:val="none"/>
          <w:lang w:val="en-US" w:eastAsia="zh-CN"/>
        </w:rPr>
        <w:t>预算执行</w:t>
      </w:r>
      <w:r>
        <w:rPr>
          <w:rFonts w:hint="eastAsia" w:ascii="仿宋_GB2312" w:hAnsi="仿宋_GB2312" w:eastAsia="仿宋_GB2312" w:cs="仿宋_GB2312"/>
          <w:color w:val="auto"/>
          <w:sz w:val="28"/>
          <w:szCs w:val="28"/>
          <w:highlight w:val="none"/>
        </w:rPr>
        <w:t>率为</w:t>
      </w:r>
      <w:r>
        <w:rPr>
          <w:rFonts w:hint="eastAsia" w:ascii="仿宋_GB2312" w:hAnsi="仿宋_GB2312" w:eastAsia="仿宋_GB2312" w:cs="仿宋_GB2312"/>
          <w:color w:val="auto"/>
          <w:sz w:val="28"/>
          <w:szCs w:val="28"/>
          <w:highlight w:val="none"/>
          <w:lang w:val="en-US" w:eastAsia="zh-CN"/>
        </w:rPr>
        <w:t>74.8</w:t>
      </w:r>
      <w:r>
        <w:rPr>
          <w:rFonts w:hint="eastAsia" w:ascii="仿宋_GB2312" w:hAnsi="仿宋_GB2312" w:eastAsia="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ageBreakBefore w:val="0"/>
        <w:kinsoku/>
        <w:wordWrap/>
        <w:topLinePunct w:val="0"/>
        <w:autoSpaceDE/>
        <w:autoSpaceDN/>
        <w:bidi w:val="0"/>
        <w:spacing w:line="570" w:lineRule="exact"/>
        <w:ind w:right="0" w:rightChars="0" w:firstLine="643"/>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（3）资金使用合规性：</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经检查，本项目合同、财务支出凭证等资料，本项目资金使用符合国家财经法规、《政府会计制度》以及《</w:t>
      </w:r>
      <w:r>
        <w:rPr>
          <w:rFonts w:hint="eastAsia" w:ascii="仿宋_GB2312" w:hAnsi="仿宋_GB2312" w:eastAsia="仿宋_GB2312" w:cs="仿宋_GB2312"/>
          <w:color w:val="auto"/>
          <w:highlight w:val="none"/>
          <w:lang w:val="en-US" w:eastAsia="zh-CN"/>
        </w:rPr>
        <w:t>财务管理制度</w:t>
      </w:r>
      <w:r>
        <w:rPr>
          <w:rFonts w:hint="eastAsia" w:ascii="仿宋_GB2312" w:hAnsi="仿宋_GB2312" w:eastAsia="仿宋_GB2312" w:cs="仿宋_GB2312"/>
          <w:color w:val="auto"/>
          <w:highlight w:val="none"/>
        </w:rPr>
        <w:t>》，资金的拨付有完整的审批程序和手续，资金实际使用方向与预算批复用途一致，不存在截留、挤占、挪用、虚列支出的情况。</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rPr>
      </w:pPr>
      <w:r>
        <w:rPr>
          <w:rFonts w:hint="eastAsia" w:ascii="仿宋_GB2312" w:hAnsi="仿宋_GB2312" w:eastAsia="仿宋_GB2312" w:cs="仿宋_GB2312"/>
          <w:color w:val="auto"/>
          <w:highlight w:val="none"/>
        </w:rPr>
        <w:t>综上所述，本指标满分为</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分，根据评分标准得</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分,本项目</w:t>
      </w:r>
      <w:r>
        <w:rPr>
          <w:rFonts w:hint="eastAsia" w:ascii="仿宋_GB2312" w:hAnsi="仿宋_GB2312" w:eastAsia="仿宋_GB2312" w:cs="仿宋_GB2312"/>
          <w:color w:val="auto"/>
          <w:highlight w:val="none"/>
          <w:lang w:val="en-US" w:eastAsia="zh-CN"/>
        </w:rPr>
        <w:t>资金使用合规。</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2.组织实施情况分析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b/>
          <w:bCs/>
          <w:color w:val="auto"/>
          <w:sz w:val="28"/>
          <w:szCs w:val="28"/>
          <w:highlight w:val="none"/>
        </w:rPr>
        <w:t>4）管理制度健全性：</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我单位已制定托克逊县退役军人事务局职能配置、内设机构和人员编制规定上述已建立的制度均符合行政事业单位内控管理要求，财务和业务管理制度合法、合规、完整，本项目执行符合上述制度规定。</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综上所述，本指标满分为</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分，根据评分标准得</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rPr>
        <w:t>分,本项目管理制度健全</w:t>
      </w:r>
      <w:r>
        <w:rPr>
          <w:rFonts w:hint="eastAsia" w:ascii="仿宋_GB2312" w:hAnsi="仿宋_GB2312" w:eastAsia="仿宋_GB2312" w:cs="仿宋_GB2312"/>
          <w:color w:val="auto"/>
          <w:highlight w:val="none"/>
          <w:lang w:val="en-US" w:eastAsia="zh-CN"/>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bCs/>
          <w:color w:val="auto"/>
          <w:sz w:val="28"/>
          <w:szCs w:val="28"/>
          <w:highlight w:val="none"/>
        </w:rPr>
        <w:t>（5）制度执行有效性</w:t>
      </w:r>
      <w:r>
        <w:rPr>
          <w:rFonts w:hint="eastAsia" w:ascii="仿宋_GB2312" w:hAnsi="仿宋_GB2312" w:eastAsia="仿宋_GB2312" w:cs="仿宋_GB2312"/>
          <w:color w:val="auto"/>
          <w:sz w:val="28"/>
          <w:szCs w:val="28"/>
          <w:highlight w:val="none"/>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ascii="仿宋_GB2312" w:hAnsi="仿宋_GB2312" w:eastAsia="仿宋_GB2312" w:cs="仿宋_GB2312"/>
          <w:color w:val="auto"/>
          <w:highlight w:val="none"/>
          <w:lang w:eastAsia="zh-CN"/>
        </w:rPr>
        <w:t>执行</w:t>
      </w:r>
      <w:r>
        <w:rPr>
          <w:rFonts w:hint="eastAsia" w:ascii="仿宋_GB2312" w:hAnsi="仿宋_GB2312" w:eastAsia="仿宋_GB2312" w:cs="仿宋_GB2312"/>
          <w:color w:val="auto"/>
          <w:highlight w:val="none"/>
        </w:rPr>
        <w:t>，项目启动实施后，为了加快本项目的实施，成立了</w:t>
      </w:r>
      <w:r>
        <w:rPr>
          <w:rFonts w:hint="eastAsia" w:ascii="仿宋_GB2312" w:hAnsi="仿宋_GB2312" w:eastAsia="仿宋_GB2312" w:cs="仿宋_GB2312"/>
          <w:color w:val="auto"/>
          <w:highlight w:val="none"/>
          <w:lang w:val="en-US" w:eastAsia="zh-CN"/>
        </w:rPr>
        <w:t>2023年自治区财政优抚对象补助经费</w:t>
      </w:r>
      <w:r>
        <w:rPr>
          <w:rFonts w:hint="eastAsia" w:ascii="仿宋_GB2312" w:hAnsi="仿宋_GB2312" w:eastAsia="仿宋_GB2312" w:cs="仿宋_GB2312"/>
          <w:color w:val="auto"/>
          <w:highlight w:val="none"/>
        </w:rPr>
        <w:t>项目工作领导小组，由党组书记</w:t>
      </w:r>
      <w:r>
        <w:rPr>
          <w:rFonts w:hint="eastAsia" w:ascii="仿宋_GB2312" w:hAnsi="仿宋_GB2312" w:eastAsia="仿宋_GB2312" w:cs="仿宋_GB2312"/>
          <w:color w:val="auto"/>
          <w:highlight w:val="none"/>
          <w:lang w:val="en-US" w:eastAsia="zh-CN"/>
        </w:rPr>
        <w:t>王致波</w:t>
      </w:r>
      <w:r>
        <w:rPr>
          <w:rFonts w:hint="eastAsia" w:ascii="仿宋_GB2312" w:hAnsi="仿宋_GB2312" w:eastAsia="仿宋_GB2312" w:cs="仿宋_GB2312"/>
          <w:color w:val="auto"/>
          <w:highlight w:val="none"/>
        </w:rPr>
        <w:t>任组长，负责项目的组织工作；</w:t>
      </w:r>
      <w:r>
        <w:rPr>
          <w:rFonts w:hint="eastAsia" w:ascii="仿宋_GB2312" w:hAnsi="仿宋_GB2312" w:eastAsia="仿宋_GB2312" w:cs="仿宋_GB2312"/>
          <w:color w:val="auto"/>
          <w:highlight w:val="none"/>
          <w:lang w:val="en-US" w:eastAsia="zh-CN"/>
        </w:rPr>
        <w:t>吾斯曼·海力力</w:t>
      </w:r>
      <w:r>
        <w:rPr>
          <w:rFonts w:hint="eastAsia" w:ascii="仿宋_GB2312" w:hAnsi="仿宋_GB2312" w:eastAsia="仿宋_GB2312" w:cs="仿宋_GB2312"/>
          <w:color w:val="auto"/>
          <w:highlight w:val="none"/>
        </w:rPr>
        <w:t>任副组长，负责项目的实施工作；组员包括：</w:t>
      </w:r>
      <w:r>
        <w:rPr>
          <w:rFonts w:hint="eastAsia" w:ascii="仿宋_GB2312" w:hAnsi="仿宋_GB2312" w:eastAsia="仿宋_GB2312" w:cs="仿宋_GB2312"/>
          <w:color w:val="auto"/>
          <w:highlight w:val="none"/>
          <w:lang w:val="en-US" w:eastAsia="zh-CN"/>
        </w:rPr>
        <w:t>古再力努尔·艾合买提</w:t>
      </w:r>
      <w:r>
        <w:rPr>
          <w:rFonts w:hint="eastAsia" w:ascii="仿宋_GB2312" w:hAnsi="仿宋_GB2312" w:eastAsia="仿宋_GB2312" w:cs="仿宋_GB2312"/>
          <w:color w:val="auto"/>
          <w:highlight w:val="none"/>
        </w:rPr>
        <w:t>和</w:t>
      </w:r>
      <w:r>
        <w:rPr>
          <w:rFonts w:hint="eastAsia" w:ascii="仿宋_GB2312" w:hAnsi="仿宋_GB2312" w:eastAsia="仿宋_GB2312" w:cs="仿宋_GB2312"/>
          <w:color w:val="auto"/>
          <w:highlight w:val="none"/>
          <w:lang w:val="en-US" w:eastAsia="zh-CN"/>
        </w:rPr>
        <w:t>阿丽亚·阿不地热合曼</w:t>
      </w:r>
      <w:r>
        <w:rPr>
          <w:rFonts w:hint="eastAsia" w:ascii="仿宋_GB2312" w:hAnsi="仿宋_GB2312" w:eastAsia="仿宋_GB2312" w:cs="仿宋_GB2312"/>
          <w:color w:val="auto"/>
          <w:highlight w:val="none"/>
        </w:rPr>
        <w:t>，主要负责项目监督管理、验收以及资金核拨等工作。</w:t>
      </w:r>
    </w:p>
    <w:p>
      <w:pPr>
        <w:pageBreakBefore w:val="0"/>
        <w:kinsoku/>
        <w:wordWrap/>
        <w:topLinePunct w:val="0"/>
        <w:autoSpaceDE/>
        <w:autoSpaceDN/>
        <w:bidi w:val="0"/>
        <w:spacing w:line="570" w:lineRule="exact"/>
        <w:textAlignment w:val="auto"/>
        <w:rPr>
          <w:color w:val="auto"/>
          <w:highlight w:val="none"/>
        </w:rPr>
      </w:pPr>
      <w:r>
        <w:rPr>
          <w:rFonts w:hint="eastAsia" w:ascii="仿宋_GB2312" w:hAnsi="仿宋_GB2312" w:eastAsia="仿宋_GB2312" w:cs="仿宋_GB2312"/>
          <w:color w:val="auto"/>
          <w:highlight w:val="none"/>
        </w:rPr>
        <w:t>综上所述，</w:t>
      </w:r>
      <w:r>
        <w:rPr>
          <w:rFonts w:hint="eastAsia" w:ascii="仿宋_GB2312" w:hAnsi="仿宋_GB2312" w:eastAsia="仿宋_GB2312" w:cs="仿宋_GB2312"/>
          <w:color w:val="auto"/>
          <w:szCs w:val="28"/>
          <w:highlight w:val="none"/>
        </w:rPr>
        <w:t>本指标满分为</w:t>
      </w:r>
      <w:r>
        <w:rPr>
          <w:rFonts w:hint="eastAsia" w:ascii="仿宋_GB2312" w:hAnsi="仿宋_GB2312" w:eastAsia="仿宋_GB2312" w:cs="仿宋_GB2312"/>
          <w:color w:val="auto"/>
          <w:szCs w:val="28"/>
          <w:highlight w:val="none"/>
          <w:lang w:val="en-US" w:eastAsia="zh-CN"/>
        </w:rPr>
        <w:t>4</w:t>
      </w:r>
      <w:r>
        <w:rPr>
          <w:rFonts w:hint="eastAsia" w:ascii="仿宋_GB2312" w:hAnsi="仿宋_GB2312" w:eastAsia="仿宋_GB2312" w:cs="仿宋_GB2312"/>
          <w:color w:val="auto"/>
          <w:szCs w:val="28"/>
          <w:highlight w:val="none"/>
        </w:rPr>
        <w:t>分，根据评分标准得</w:t>
      </w:r>
      <w:r>
        <w:rPr>
          <w:rFonts w:hint="eastAsia" w:ascii="仿宋_GB2312" w:hAnsi="仿宋_GB2312" w:eastAsia="仿宋_GB2312" w:cs="仿宋_GB2312"/>
          <w:color w:val="auto"/>
          <w:szCs w:val="28"/>
          <w:highlight w:val="none"/>
          <w:lang w:val="en-US" w:eastAsia="zh-CN"/>
        </w:rPr>
        <w:t>4</w:t>
      </w:r>
      <w:r>
        <w:rPr>
          <w:rFonts w:hint="eastAsia" w:ascii="仿宋_GB2312" w:hAnsi="仿宋_GB2312" w:eastAsia="仿宋_GB2312" w:cs="仿宋_GB2312"/>
          <w:color w:val="auto"/>
          <w:szCs w:val="28"/>
          <w:highlight w:val="none"/>
        </w:rPr>
        <w:t>分,本项目制度执行有效</w:t>
      </w:r>
      <w:r>
        <w:rPr>
          <w:rFonts w:hint="eastAsia" w:ascii="仿宋_GB2312" w:hAnsi="仿宋_GB2312" w:eastAsia="仿宋_GB2312" w:cs="仿宋_GB2312"/>
          <w:color w:val="auto"/>
          <w:szCs w:val="28"/>
          <w:highlight w:val="none"/>
          <w:lang w:val="en-US" w:eastAsia="zh-CN"/>
        </w:rPr>
        <w:t>。</w:t>
      </w:r>
    </w:p>
    <w:p>
      <w:pPr>
        <w:pStyle w:val="2"/>
        <w:pageBreakBefore w:val="0"/>
        <w:kinsoku/>
        <w:wordWrap/>
        <w:topLinePunct w:val="0"/>
        <w:autoSpaceDE/>
        <w:autoSpaceDN/>
        <w:bidi w:val="0"/>
        <w:spacing w:line="570" w:lineRule="exact"/>
        <w:textAlignment w:val="auto"/>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（三）项目产出情况</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项目产出类指标包括产出数量、产出质量、产出时效</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rPr>
        <w:t>方面的内容，权重分为</w:t>
      </w:r>
      <w:r>
        <w:rPr>
          <w:rFonts w:hint="eastAsia" w:ascii="仿宋_GB2312" w:hAnsi="仿宋_GB2312" w:eastAsia="仿宋_GB2312" w:cs="仿宋_GB2312"/>
          <w:color w:val="auto"/>
          <w:sz w:val="28"/>
          <w:szCs w:val="28"/>
          <w:highlight w:val="none"/>
          <w:lang w:val="en-US" w:eastAsia="zh-CN"/>
        </w:rPr>
        <w:t>24</w:t>
      </w:r>
      <w:r>
        <w:rPr>
          <w:rFonts w:hint="eastAsia" w:ascii="仿宋_GB2312" w:hAnsi="仿宋_GB2312" w:eastAsia="仿宋_GB2312" w:cs="仿宋_GB2312"/>
          <w:color w:val="auto"/>
          <w:sz w:val="28"/>
          <w:szCs w:val="28"/>
          <w:highlight w:val="none"/>
        </w:rPr>
        <w:t>分，实际得分</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cs="仿宋_GB2312"/>
          <w:color w:val="auto"/>
          <w:sz w:val="28"/>
          <w:szCs w:val="28"/>
          <w:highlight w:val="none"/>
          <w:lang w:val="en-US" w:eastAsia="zh-CN"/>
        </w:rPr>
        <w:t>3.48</w:t>
      </w:r>
      <w:r>
        <w:rPr>
          <w:rFonts w:hint="eastAsia" w:ascii="仿宋_GB2312" w:hAnsi="仿宋_GB2312" w:eastAsia="仿宋_GB2312" w:cs="仿宋_GB2312"/>
          <w:color w:val="auto"/>
          <w:sz w:val="28"/>
          <w:szCs w:val="28"/>
          <w:highlight w:val="none"/>
        </w:rPr>
        <w:t>分。</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1.数量指标完成情况分析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highlight w:val="none"/>
          <w:lang w:eastAsia="zh-CN"/>
        </w:rPr>
        <w:t>优抚资金补助发放人数（</w:t>
      </w:r>
      <w:r>
        <w:rPr>
          <w:rFonts w:hint="eastAsia" w:ascii="仿宋_GB2312" w:hAnsi="仿宋_GB2312" w:eastAsia="仿宋_GB2312" w:cs="仿宋_GB2312"/>
          <w:color w:val="auto"/>
          <w:highlight w:val="none"/>
        </w:rPr>
        <w:t>伤残人员、三属、在乡老复员军人、带病回乡退伍军人、参战参试退役人员和60周岁以上农村籍退役士兵</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sz w:val="28"/>
          <w:szCs w:val="28"/>
          <w:highlight w:val="none"/>
          <w:lang w:val="en-US" w:eastAsia="zh-CN"/>
        </w:rPr>
        <w:t>236人</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239人</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highlight w:val="none"/>
          <w:lang w:val="en-US" w:eastAsia="zh-CN"/>
        </w:rPr>
        <w:t>“优抚资金补助发放次数”</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cs="仿宋_GB2312"/>
          <w:color w:val="auto"/>
          <w:highlight w:val="none"/>
          <w:lang w:val="en-US" w:eastAsia="zh-CN"/>
        </w:rPr>
        <w:t>大于等于</w:t>
      </w:r>
      <w:r>
        <w:rPr>
          <w:rFonts w:hint="eastAsia" w:ascii="仿宋_GB2312" w:hAnsi="仿宋_GB2312" w:eastAsia="仿宋_GB2312" w:cs="仿宋_GB2312"/>
          <w:color w:val="auto"/>
          <w:highlight w:val="none"/>
          <w:lang w:val="en-US" w:eastAsia="zh-CN"/>
        </w:rPr>
        <w:t>8次</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lang w:val="en-US" w:eastAsia="zh-CN"/>
        </w:rPr>
        <w:t>次</w:t>
      </w:r>
      <w:r>
        <w:rPr>
          <w:rFonts w:hint="eastAsia" w:ascii="仿宋_GB2312" w:hAnsi="仿宋_GB2312" w:eastAsia="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87.5</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lang w:val="en-US" w:eastAsia="zh-CN"/>
        </w:rPr>
        <w:t>主要</w:t>
      </w:r>
      <w:r>
        <w:rPr>
          <w:rFonts w:hint="eastAsia" w:ascii="仿宋_GB2312" w:hAnsi="仿宋_GB2312" w:eastAsia="仿宋_GB2312" w:cs="仿宋_GB2312"/>
          <w:color w:val="auto"/>
          <w:sz w:val="28"/>
          <w:szCs w:val="28"/>
          <w:highlight w:val="none"/>
          <w:lang w:val="en-US" w:eastAsia="zh-CN"/>
        </w:rPr>
        <w:t>原因：本项目还有中央财政优抚对象补助资金，其他月份使用中央专项发放；改进措施：建议将资金来源不同，但资金用途一致、受益对象一致的项目进行合并，编制1个绩效目标，对当年同一项目的追加资金通过绩效目标调整功能进行调整，以达到全面反映对项目全过程的目标。</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2.质量指标完成情况分析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优抚补助待遇政策覆盖率</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优抚资金补助标准按规定执行率</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3.时效指标完成情况分析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优抚资金补助发放及时</w:t>
      </w:r>
      <w:r>
        <w:rPr>
          <w:rFonts w:hint="eastAsia" w:ascii="仿宋_GB2312" w:hAnsi="仿宋_GB2312" w:eastAsia="仿宋_GB2312" w:cs="仿宋_GB2312"/>
          <w:color w:val="auto"/>
          <w:highlight w:val="none"/>
        </w:rPr>
        <w:t>率”</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highlight w:val="none"/>
        </w:rPr>
        <w:t>100%</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highlight w:val="none"/>
        </w:rPr>
        <w:t>100%</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highlight w:val="none"/>
        </w:rPr>
        <w:t>100%</w:t>
      </w:r>
      <w:r>
        <w:rPr>
          <w:rFonts w:hint="eastAsia" w:ascii="仿宋_GB2312" w:hAnsi="仿宋_GB2312" w:eastAsia="仿宋_GB2312" w:cs="仿宋_GB2312"/>
          <w:color w:val="auto"/>
          <w:sz w:val="28"/>
          <w:szCs w:val="28"/>
          <w:highlight w:val="none"/>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eastAsia="zh-CN"/>
        </w:rPr>
        <w:t>优抚对象生活补助每月发放日期</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cs="仿宋_GB2312"/>
          <w:color w:val="auto"/>
          <w:highlight w:val="none"/>
          <w:lang w:eastAsia="zh-CN"/>
        </w:rPr>
        <w:t>小于等于</w:t>
      </w:r>
      <w:r>
        <w:rPr>
          <w:rFonts w:hint="eastAsia" w:ascii="仿宋_GB2312" w:hAnsi="仿宋_GB2312" w:eastAsia="仿宋_GB2312" w:cs="仿宋_GB2312"/>
          <w:color w:val="auto"/>
          <w:highlight w:val="none"/>
          <w:lang w:val="en-US" w:eastAsia="zh-CN"/>
        </w:rPr>
        <w:t>15日</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15日</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p>
    <w:p>
      <w:pPr>
        <w:pStyle w:val="2"/>
        <w:pageBreakBefore w:val="0"/>
        <w:kinsoku/>
        <w:wordWrap/>
        <w:topLinePunct w:val="0"/>
        <w:autoSpaceDE/>
        <w:autoSpaceDN/>
        <w:bidi w:val="0"/>
        <w:spacing w:line="570" w:lineRule="exact"/>
        <w:textAlignment w:val="auto"/>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w:t>
      </w:r>
      <w:r>
        <w:rPr>
          <w:rFonts w:hint="eastAsia" w:ascii="楷体_GB2312" w:hAnsi="楷体_GB2312" w:eastAsia="楷体_GB2312" w:cs="楷体_GB2312"/>
          <w:color w:val="auto"/>
          <w:sz w:val="32"/>
          <w:highlight w:val="none"/>
          <w:lang w:val="en-US" w:eastAsia="zh-CN"/>
        </w:rPr>
        <w:t>四</w:t>
      </w:r>
      <w:r>
        <w:rPr>
          <w:rFonts w:hint="eastAsia" w:ascii="楷体_GB2312" w:hAnsi="楷体_GB2312" w:eastAsia="楷体_GB2312" w:cs="楷体_GB2312"/>
          <w:color w:val="auto"/>
          <w:sz w:val="32"/>
          <w:highlight w:val="none"/>
        </w:rPr>
        <w:t>）项目</w:t>
      </w:r>
      <w:r>
        <w:rPr>
          <w:rFonts w:hint="eastAsia" w:ascii="楷体_GB2312" w:hAnsi="楷体_GB2312" w:eastAsia="楷体_GB2312" w:cs="楷体_GB2312"/>
          <w:color w:val="auto"/>
          <w:sz w:val="32"/>
          <w:highlight w:val="none"/>
          <w:lang w:val="en-US" w:eastAsia="zh-CN"/>
        </w:rPr>
        <w:t>成本</w:t>
      </w:r>
      <w:r>
        <w:rPr>
          <w:rFonts w:hint="eastAsia" w:ascii="楷体_GB2312" w:hAnsi="楷体_GB2312" w:eastAsia="楷体_GB2312" w:cs="楷体_GB2312"/>
          <w:color w:val="auto"/>
          <w:sz w:val="32"/>
          <w:highlight w:val="none"/>
        </w:rPr>
        <w:t>情况</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项目产出类指标包括</w:t>
      </w:r>
      <w:r>
        <w:rPr>
          <w:rFonts w:hint="eastAsia" w:ascii="仿宋_GB2312" w:hAnsi="仿宋_GB2312" w:eastAsia="仿宋_GB2312" w:cs="仿宋_GB2312"/>
          <w:color w:val="auto"/>
          <w:sz w:val="28"/>
          <w:szCs w:val="28"/>
          <w:highlight w:val="none"/>
          <w:lang w:val="en-US" w:eastAsia="zh-CN"/>
        </w:rPr>
        <w:t>经济成本、社会成本、生态环境成本三</w:t>
      </w:r>
      <w:r>
        <w:rPr>
          <w:rFonts w:hint="eastAsia" w:ascii="仿宋_GB2312" w:hAnsi="仿宋_GB2312" w:eastAsia="仿宋_GB2312" w:cs="仿宋_GB2312"/>
          <w:color w:val="auto"/>
          <w:sz w:val="28"/>
          <w:szCs w:val="28"/>
          <w:highlight w:val="none"/>
        </w:rPr>
        <w:t>方面的内容，</w:t>
      </w:r>
      <w:r>
        <w:rPr>
          <w:rFonts w:hint="eastAsia" w:ascii="仿宋_GB2312" w:hAnsi="仿宋_GB2312" w:eastAsia="仿宋_GB2312" w:cs="仿宋_GB2312"/>
          <w:color w:val="auto"/>
          <w:sz w:val="28"/>
          <w:szCs w:val="28"/>
          <w:highlight w:val="none"/>
          <w:lang w:val="en-US" w:eastAsia="zh-CN"/>
        </w:rPr>
        <w:t>本项目仅涉及经济成本指标，</w:t>
      </w:r>
      <w:r>
        <w:rPr>
          <w:rFonts w:hint="eastAsia" w:ascii="仿宋_GB2312" w:hAnsi="仿宋_GB2312" w:eastAsia="仿宋_GB2312" w:cs="仿宋_GB2312"/>
          <w:color w:val="auto"/>
          <w:sz w:val="28"/>
          <w:szCs w:val="28"/>
          <w:highlight w:val="none"/>
        </w:rPr>
        <w:t>权重分为</w:t>
      </w:r>
      <w:r>
        <w:rPr>
          <w:rFonts w:hint="eastAsia" w:ascii="仿宋_GB2312" w:hAnsi="仿宋_GB2312" w:eastAsia="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分，实际得分</w:t>
      </w:r>
      <w:r>
        <w:rPr>
          <w:rFonts w:hint="eastAsia" w:ascii="仿宋_GB2312" w:hAnsi="仿宋_GB2312" w:eastAsia="仿宋_GB2312" w:cs="仿宋_GB2312"/>
          <w:color w:val="auto"/>
          <w:sz w:val="28"/>
          <w:szCs w:val="28"/>
          <w:highlight w:val="none"/>
          <w:lang w:val="en-US" w:eastAsia="zh-CN"/>
        </w:rPr>
        <w:t>12</w:t>
      </w:r>
      <w:r>
        <w:rPr>
          <w:rFonts w:hint="eastAsia" w:ascii="仿宋_GB2312" w:hAnsi="仿宋_GB2312" w:eastAsia="仿宋_GB2312" w:cs="仿宋_GB2312"/>
          <w:color w:val="auto"/>
          <w:sz w:val="28"/>
          <w:szCs w:val="28"/>
          <w:highlight w:val="none"/>
        </w:rPr>
        <w:t>分。</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经济成本指标完成情况分析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“优抚对象生活补助人均发放资金”</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cs="仿宋_GB2312"/>
          <w:color w:val="auto"/>
          <w:highlight w:val="none"/>
          <w:lang w:eastAsia="zh-CN"/>
        </w:rPr>
        <w:t>小于等于</w:t>
      </w:r>
      <w:r>
        <w:rPr>
          <w:rFonts w:hint="eastAsia" w:ascii="仿宋_GB2312" w:hAnsi="仿宋_GB2312" w:eastAsia="仿宋_GB2312" w:cs="仿宋_GB2312"/>
          <w:color w:val="auto"/>
          <w:highlight w:val="none"/>
          <w:lang w:val="en-US" w:eastAsia="zh-CN"/>
        </w:rPr>
        <w:t>1236.49元/人/月</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highlight w:val="none"/>
          <w:lang w:val="en-US" w:eastAsia="zh-CN"/>
        </w:rPr>
        <w:t>1043.84元/人/月</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p>
    <w:p>
      <w:pPr>
        <w:pStyle w:val="4"/>
        <w:pageBreakBefore w:val="0"/>
        <w:kinsoku/>
        <w:wordWrap/>
        <w:topLinePunct w:val="0"/>
        <w:autoSpaceDE/>
        <w:autoSpaceDN/>
        <w:bidi w:val="0"/>
        <w:spacing w:line="570" w:lineRule="exact"/>
        <w:textAlignment w:val="auto"/>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w:t>
      </w:r>
      <w:r>
        <w:rPr>
          <w:rFonts w:hint="eastAsia" w:ascii="楷体_GB2312" w:hAnsi="楷体_GB2312" w:eastAsia="楷体_GB2312" w:cs="楷体_GB2312"/>
          <w:color w:val="auto"/>
          <w:sz w:val="32"/>
          <w:highlight w:val="none"/>
          <w:lang w:val="en-US" w:eastAsia="zh-CN"/>
        </w:rPr>
        <w:t>五</w:t>
      </w:r>
      <w:r>
        <w:rPr>
          <w:rFonts w:hint="eastAsia" w:ascii="楷体_GB2312" w:hAnsi="楷体_GB2312" w:eastAsia="楷体_GB2312" w:cs="楷体_GB2312"/>
          <w:color w:val="auto"/>
          <w:sz w:val="32"/>
          <w:highlight w:val="none"/>
        </w:rPr>
        <w:t>）项目效益情况</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highlight w:val="none"/>
          <w:lang w:eastAsia="zh-CN"/>
        </w:rPr>
        <w:t>项目效益类指标</w:t>
      </w:r>
      <w:r>
        <w:rPr>
          <w:rFonts w:hint="eastAsia" w:ascii="仿宋_GB2312" w:hAnsi="仿宋_GB2312" w:eastAsia="仿宋_GB2312" w:cs="仿宋_GB2312"/>
          <w:color w:val="auto"/>
          <w:sz w:val="28"/>
          <w:szCs w:val="28"/>
          <w:highlight w:val="none"/>
        </w:rPr>
        <w:t>包括</w:t>
      </w:r>
      <w:r>
        <w:rPr>
          <w:rFonts w:hint="eastAsia" w:ascii="仿宋_GB2312" w:hAnsi="仿宋_GB2312" w:eastAsia="仿宋_GB2312" w:cs="仿宋_GB2312"/>
          <w:color w:val="auto"/>
          <w:sz w:val="28"/>
          <w:szCs w:val="28"/>
          <w:highlight w:val="none"/>
          <w:lang w:val="en-US" w:eastAsia="zh-CN"/>
        </w:rPr>
        <w:t>经济效益、社会效益、生态效益、服务对象满意度四个</w:t>
      </w:r>
      <w:r>
        <w:rPr>
          <w:rFonts w:hint="eastAsia" w:ascii="仿宋_GB2312" w:hAnsi="仿宋_GB2312" w:eastAsia="仿宋_GB2312" w:cs="仿宋_GB2312"/>
          <w:color w:val="auto"/>
          <w:sz w:val="28"/>
          <w:szCs w:val="28"/>
          <w:highlight w:val="none"/>
        </w:rPr>
        <w:t>方面，权重分为</w:t>
      </w:r>
      <w:r>
        <w:rPr>
          <w:rFonts w:hint="eastAsia" w:ascii="仿宋_GB2312" w:hAnsi="仿宋_GB2312" w:eastAsia="仿宋_GB2312" w:cs="仿宋_GB2312"/>
          <w:color w:val="auto"/>
          <w:sz w:val="28"/>
          <w:szCs w:val="28"/>
          <w:highlight w:val="none"/>
          <w:lang w:val="en-US" w:eastAsia="zh-CN"/>
        </w:rPr>
        <w:t>24</w:t>
      </w:r>
      <w:r>
        <w:rPr>
          <w:rFonts w:hint="eastAsia" w:ascii="仿宋_GB2312" w:hAnsi="仿宋_GB2312" w:eastAsia="仿宋_GB2312" w:cs="仿宋_GB2312"/>
          <w:color w:val="auto"/>
          <w:sz w:val="28"/>
          <w:szCs w:val="28"/>
          <w:highlight w:val="none"/>
        </w:rPr>
        <w:t>分，实际得分</w:t>
      </w:r>
      <w:r>
        <w:rPr>
          <w:rFonts w:hint="eastAsia" w:ascii="仿宋_GB2312" w:hAnsi="仿宋_GB2312" w:eastAsia="仿宋_GB2312" w:cs="仿宋_GB2312"/>
          <w:color w:val="auto"/>
          <w:sz w:val="28"/>
          <w:szCs w:val="28"/>
          <w:highlight w:val="none"/>
          <w:lang w:val="en-US" w:eastAsia="zh-CN"/>
        </w:rPr>
        <w:t>24</w:t>
      </w:r>
      <w:r>
        <w:rPr>
          <w:rFonts w:hint="eastAsia" w:ascii="仿宋_GB2312" w:hAnsi="仿宋_GB2312" w:eastAsia="仿宋_GB2312" w:cs="仿宋_GB2312"/>
          <w:color w:val="auto"/>
          <w:sz w:val="28"/>
          <w:szCs w:val="28"/>
          <w:highlight w:val="none"/>
        </w:rPr>
        <w:t>分。</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sz w:val="28"/>
          <w:szCs w:val="28"/>
          <w:highlight w:val="none"/>
          <w:lang w:val="en-US" w:eastAsia="zh-CN"/>
        </w:rPr>
        <w:t>1.经济</w:t>
      </w:r>
      <w:r>
        <w:rPr>
          <w:rFonts w:hint="eastAsia" w:ascii="仿宋_GB2312" w:hAnsi="仿宋_GB2312" w:eastAsia="仿宋_GB2312" w:cs="仿宋_GB2312"/>
          <w:b/>
          <w:bCs/>
          <w:color w:val="auto"/>
          <w:sz w:val="28"/>
          <w:szCs w:val="28"/>
          <w:highlight w:val="none"/>
        </w:rPr>
        <w:t>效益</w:t>
      </w:r>
      <w:r>
        <w:rPr>
          <w:rFonts w:hint="eastAsia" w:ascii="仿宋_GB2312" w:hAnsi="仿宋_GB2312" w:eastAsia="仿宋_GB2312" w:cs="仿宋_GB2312"/>
          <w:b/>
          <w:bCs/>
          <w:color w:val="auto"/>
          <w:sz w:val="28"/>
          <w:szCs w:val="28"/>
          <w:highlight w:val="none"/>
          <w:lang w:val="en-US" w:eastAsia="zh-CN"/>
        </w:rPr>
        <w:t>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highlight w:val="none"/>
          <w:lang w:val="en-US" w:eastAsia="zh-CN"/>
        </w:rPr>
        <w:t>“</w:t>
      </w:r>
      <w:r>
        <w:rPr>
          <w:rFonts w:hint="eastAsia" w:ascii="仿宋_GB2312" w:hAnsi="仿宋_GB2312" w:eastAsia="仿宋_GB2312" w:cs="仿宋_GB2312"/>
          <w:color w:val="auto"/>
          <w:highlight w:val="none"/>
          <w:lang w:eastAsia="zh-CN"/>
        </w:rPr>
        <w:t>提高优抚对象整体年收入</w:t>
      </w:r>
      <w:r>
        <w:rPr>
          <w:rFonts w:hint="eastAsia" w:ascii="仿宋_GB2312" w:hAnsi="仿宋_GB2312" w:eastAsia="仿宋_GB2312" w:cs="仿宋_GB2312"/>
          <w:color w:val="auto"/>
          <w:highlight w:val="none"/>
          <w:lang w:val="en-US" w:eastAsia="zh-CN"/>
        </w:rPr>
        <w:t>”</w:t>
      </w:r>
      <w:r>
        <w:rPr>
          <w:rFonts w:hint="eastAsia" w:ascii="仿宋_GB2312" w:hAnsi="仿宋_GB2312" w:eastAsia="仿宋_GB2312" w:cs="仿宋_GB2312"/>
          <w:color w:val="auto"/>
          <w:sz w:val="28"/>
          <w:szCs w:val="28"/>
          <w:highlight w:val="none"/>
        </w:rPr>
        <w:t>指标：预期指标值</w:t>
      </w:r>
      <w:r>
        <w:rPr>
          <w:rFonts w:hint="eastAsia" w:ascii="仿宋_GB2312" w:hAnsi="仿宋_GB2312" w:cs="仿宋_GB2312"/>
          <w:color w:val="auto"/>
          <w:highlight w:val="none"/>
          <w:lang w:val="en-US" w:eastAsia="zh-CN"/>
        </w:rPr>
        <w:t>大于等于</w:t>
      </w:r>
      <w:r>
        <w:rPr>
          <w:rFonts w:hint="eastAsia" w:ascii="仿宋_GB2312" w:hAnsi="仿宋_GB2312" w:eastAsia="仿宋_GB2312" w:cs="仿宋_GB2312"/>
          <w:color w:val="auto"/>
          <w:highlight w:val="none"/>
          <w:lang w:eastAsia="zh-CN"/>
        </w:rPr>
        <w:t>151万元</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174.63万元</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eastAsia="仿宋_GB2312" w:cs="仿宋_GB2312"/>
          <w:b/>
          <w:bCs/>
          <w:color w:val="auto"/>
          <w:sz w:val="28"/>
          <w:szCs w:val="28"/>
          <w:highlight w:val="none"/>
          <w:lang w:val="en-US" w:eastAsia="zh-CN"/>
        </w:rPr>
        <w:t>2.社会效益指标完成情况分析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highlight w:val="none"/>
        </w:rPr>
        <w:t>“解决优抚对象生活困难问题”</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highlight w:val="none"/>
          <w:lang w:eastAsia="zh-CN"/>
        </w:rPr>
        <w:t>有效解决</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达成年度指标</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highlight w:val="none"/>
        </w:rPr>
        <w:t>“优抚政策、待遇落实率”</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highlight w:val="none"/>
          <w:lang w:val="en-US" w:eastAsia="zh-CN"/>
        </w:rPr>
        <w:t>95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3.生态效益指标完成情况分析</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无</w:t>
      </w:r>
    </w:p>
    <w:p>
      <w:pPr>
        <w:pStyle w:val="2"/>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4.满意度指标完成情况分析</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highlight w:val="none"/>
        </w:rPr>
        <w:t>“优抚对象政策满意度”</w:t>
      </w:r>
      <w:r>
        <w:rPr>
          <w:rFonts w:hint="eastAsia" w:ascii="仿宋_GB2312" w:hAnsi="仿宋_GB2312" w:eastAsia="仿宋_GB2312" w:cs="仿宋_GB2312"/>
          <w:color w:val="auto"/>
          <w:sz w:val="28"/>
          <w:szCs w:val="28"/>
          <w:highlight w:val="none"/>
        </w:rPr>
        <w:t>指标：预期指标值为</w:t>
      </w:r>
      <w:r>
        <w:rPr>
          <w:rFonts w:hint="eastAsia" w:ascii="仿宋_GB2312" w:hAnsi="仿宋_GB2312" w:eastAsia="仿宋_GB2312" w:cs="仿宋_GB2312"/>
          <w:color w:val="auto"/>
          <w:highlight w:val="none"/>
        </w:rPr>
        <w:t>95%</w:t>
      </w:r>
      <w:r>
        <w:rPr>
          <w:rFonts w:hint="eastAsia" w:ascii="仿宋_GB2312" w:hAnsi="仿宋_GB2312" w:eastAsia="仿宋_GB2312" w:cs="仿宋_GB2312"/>
          <w:color w:val="auto"/>
          <w:sz w:val="28"/>
          <w:szCs w:val="28"/>
          <w:highlight w:val="none"/>
        </w:rPr>
        <w:t>，实际完成指标值为</w:t>
      </w:r>
      <w:r>
        <w:rPr>
          <w:rFonts w:hint="eastAsia" w:ascii="仿宋_GB2312" w:hAnsi="仿宋_GB2312" w:eastAsia="仿宋_GB2312" w:cs="仿宋_GB2312"/>
          <w:color w:val="auto"/>
          <w:sz w:val="28"/>
          <w:szCs w:val="28"/>
          <w:highlight w:val="none"/>
          <w:lang w:val="en-US" w:eastAsia="zh-CN"/>
        </w:rPr>
        <w:t>96%</w:t>
      </w:r>
      <w:r>
        <w:rPr>
          <w:rFonts w:hint="eastAsia" w:ascii="仿宋_GB2312" w:hAnsi="仿宋_GB2312" w:eastAsia="仿宋_GB2312" w:cs="仿宋_GB2312"/>
          <w:color w:val="auto"/>
          <w:sz w:val="28"/>
          <w:szCs w:val="28"/>
          <w:highlight w:val="none"/>
        </w:rPr>
        <w:t>，指标完成率为</w:t>
      </w:r>
      <w:r>
        <w:rPr>
          <w:rFonts w:hint="eastAsia" w:ascii="仿宋_GB2312" w:hAnsi="仿宋_GB2312" w:eastAsia="仿宋_GB2312" w:cs="仿宋_GB2312"/>
          <w:color w:val="auto"/>
          <w:sz w:val="28"/>
          <w:szCs w:val="28"/>
          <w:highlight w:val="none"/>
          <w:lang w:val="en-US" w:eastAsia="zh-CN"/>
        </w:rPr>
        <w:t>100</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bookmarkEnd w:id="15"/>
    </w:p>
    <w:p>
      <w:pPr>
        <w:pStyle w:val="3"/>
        <w:pageBreakBefore w:val="0"/>
        <w:kinsoku/>
        <w:wordWrap/>
        <w:topLinePunct w:val="0"/>
        <w:autoSpaceDE/>
        <w:autoSpaceDN/>
        <w:bidi w:val="0"/>
        <w:spacing w:line="570" w:lineRule="exact"/>
        <w:ind w:left="638" w:leftChars="228" w:firstLine="0" w:firstLineChars="0"/>
        <w:jc w:val="left"/>
        <w:textAlignment w:val="auto"/>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本项目</w:t>
      </w:r>
      <w:r>
        <w:rPr>
          <w:rFonts w:hint="eastAsia" w:ascii="仿宋_GB2312" w:hAnsi="仿宋_GB2312" w:eastAsia="仿宋_GB2312" w:cs="仿宋_GB2312"/>
          <w:color w:val="auto"/>
          <w:highlight w:val="none"/>
          <w:lang w:val="en-US" w:eastAsia="zh-CN"/>
        </w:rPr>
        <w:t>全年预算数为233.45万元，全年到位数为233.45万元，全年执行数为174.63万元，预算执行率为74.8%。</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val="zh-TW" w:eastAsia="zh-TW"/>
        </w:rPr>
        <w:t>项目共设置</w:t>
      </w:r>
      <w:r>
        <w:rPr>
          <w:rFonts w:hint="eastAsia" w:ascii="仿宋_GB2312" w:hAnsi="仿宋_GB2312" w:eastAsia="仿宋_GB2312" w:cs="仿宋_GB2312"/>
          <w:color w:val="auto"/>
          <w:highlight w:val="none"/>
        </w:rPr>
        <w:t>三级指标数量</w:t>
      </w:r>
      <w:r>
        <w:rPr>
          <w:rFonts w:hint="eastAsia" w:ascii="仿宋_GB2312" w:hAnsi="仿宋_GB2312" w:eastAsia="仿宋_GB2312" w:cs="仿宋_GB2312"/>
          <w:color w:val="auto"/>
          <w:highlight w:val="none"/>
          <w:lang w:val="en-US" w:eastAsia="zh-CN"/>
        </w:rPr>
        <w:t>22</w:t>
      </w:r>
      <w:r>
        <w:rPr>
          <w:rFonts w:hint="eastAsia" w:ascii="仿宋_GB2312" w:hAnsi="仿宋_GB2312" w:eastAsia="仿宋_GB2312" w:cs="仿宋_GB2312"/>
          <w:color w:val="auto"/>
          <w:highlight w:val="none"/>
          <w:lang w:val="zh-TW" w:eastAsia="zh-TW"/>
        </w:rPr>
        <w:t>个，</w:t>
      </w:r>
      <w:r>
        <w:rPr>
          <w:rFonts w:hint="eastAsia" w:ascii="仿宋_GB2312" w:hAnsi="仿宋_GB2312" w:eastAsia="仿宋_GB2312" w:cs="仿宋_GB2312"/>
          <w:color w:val="auto"/>
          <w:highlight w:val="none"/>
          <w:lang w:val="zh-TW" w:eastAsia="zh-CN"/>
        </w:rPr>
        <w:t>满分指标数量</w:t>
      </w:r>
      <w:r>
        <w:rPr>
          <w:rFonts w:hint="eastAsia" w:ascii="仿宋_GB2312" w:hAnsi="仿宋_GB2312" w:eastAsia="仿宋_GB2312" w:cs="仿宋_GB2312"/>
          <w:color w:val="auto"/>
          <w:highlight w:val="none"/>
          <w:lang w:val="en-US" w:eastAsia="zh-CN"/>
        </w:rPr>
        <w:t>21个，扣分指标数量1个，经分析计算所有三级指标完成率得出本项目</w:t>
      </w:r>
      <w:r>
        <w:rPr>
          <w:rFonts w:hint="eastAsia" w:ascii="仿宋_GB2312" w:hAnsi="仿宋_GB2312" w:eastAsia="仿宋_GB2312" w:cs="仿宋_GB2312"/>
          <w:color w:val="auto"/>
          <w:highlight w:val="none"/>
        </w:rPr>
        <w:t>总体完成率为</w:t>
      </w:r>
      <w:r>
        <w:rPr>
          <w:rFonts w:hint="eastAsia" w:ascii="仿宋_GB2312" w:hAnsi="仿宋_GB2312" w:eastAsia="仿宋_GB2312" w:cs="仿宋_GB2312"/>
          <w:color w:val="auto"/>
          <w:highlight w:val="none"/>
          <w:lang w:val="en-US" w:eastAsia="zh-CN"/>
        </w:rPr>
        <w:t>98.85</w:t>
      </w:r>
      <w:r>
        <w:rPr>
          <w:rFonts w:hint="eastAsia" w:ascii="仿宋_GB2312" w:hAnsi="仿宋_GB2312" w:eastAsia="仿宋_GB2312" w:cs="仿宋_GB2312"/>
          <w:color w:val="auto"/>
          <w:highlight w:val="none"/>
          <w:lang w:val="zh-TW" w:eastAsia="zh-TW"/>
        </w:rPr>
        <w:t>%。</w:t>
      </w:r>
    </w:p>
    <w:p>
      <w:pPr>
        <w:pStyle w:val="6"/>
        <w:pageBreakBefore w:val="0"/>
        <w:kinsoku/>
        <w:wordWrap/>
        <w:topLinePunct w:val="0"/>
        <w:autoSpaceDE/>
        <w:autoSpaceDN/>
        <w:bidi w:val="0"/>
        <w:spacing w:line="570" w:lineRule="exact"/>
        <w:textAlignment w:val="auto"/>
        <w:rPr>
          <w:rFonts w:hint="eastAsia" w:ascii="仿宋_GB2312" w:hAnsi="仿宋_GB2312" w:eastAsia="仿宋_GB2312" w:cs="仿宋_GB2312"/>
          <w:color w:val="auto"/>
          <w:highlight w:val="none"/>
          <w:lang w:val="zh-TW" w:eastAsia="zh-CN"/>
        </w:rPr>
      </w:pPr>
      <w:r>
        <w:rPr>
          <w:rFonts w:hint="eastAsia" w:ascii="仿宋_GB2312" w:hAnsi="仿宋_GB2312" w:eastAsia="仿宋_GB2312" w:cs="仿宋_GB2312"/>
          <w:color w:val="auto"/>
          <w:highlight w:val="none"/>
          <w:lang w:val="en-US" w:eastAsia="zh-CN"/>
        </w:rPr>
        <w:t>综上所述本项目预算执行率与总体完成率之间的偏差为-14.05%。</w:t>
      </w:r>
    </w:p>
    <w:p>
      <w:pPr>
        <w:pStyle w:val="3"/>
        <w:pageBreakBefore w:val="0"/>
        <w:kinsoku/>
        <w:wordWrap/>
        <w:topLinePunct w:val="0"/>
        <w:autoSpaceDE/>
        <w:autoSpaceDN/>
        <w:bidi w:val="0"/>
        <w:spacing w:line="570" w:lineRule="exact"/>
        <w:ind w:firstLine="640"/>
        <w:textAlignment w:val="auto"/>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pageBreakBefore w:val="0"/>
        <w:numPr>
          <w:ilvl w:val="0"/>
          <w:numId w:val="0"/>
        </w:numPr>
        <w:kinsoku/>
        <w:wordWrap/>
        <w:topLinePunct w:val="0"/>
        <w:autoSpaceDE/>
        <w:autoSpaceDN/>
        <w:bidi w:val="0"/>
        <w:spacing w:line="570" w:lineRule="exact"/>
        <w:ind w:firstLine="643" w:firstLineChars="200"/>
        <w:textAlignment w:val="auto"/>
        <w:rPr>
          <w:rFonts w:hint="eastAsia" w:ascii="楷体_GB2312" w:hAnsi="楷体_GB2312" w:eastAsia="楷体_GB2312" w:cs="楷体_GB2312"/>
          <w:color w:val="auto"/>
          <w:highlight w:val="none"/>
        </w:rPr>
      </w:pPr>
      <w:bookmarkStart w:id="16" w:name="_Toc1921"/>
      <w:bookmarkStart w:id="17" w:name="_Toc28290"/>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lang w:val="en-US" w:eastAsia="zh-CN"/>
        </w:rPr>
        <w:t>一</w:t>
      </w: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rPr>
        <w:t>主要经验及做法</w:t>
      </w:r>
    </w:p>
    <w:bookmarkEnd w:id="16"/>
    <w:bookmarkEnd w:id="17"/>
    <w:p>
      <w:pPr>
        <w:pStyle w:val="6"/>
        <w:keepNext w:val="0"/>
        <w:keepLines w:val="0"/>
        <w:pageBreakBefore w:val="0"/>
        <w:widowControl w:val="0"/>
        <w:kinsoku/>
        <w:wordWrap/>
        <w:overflowPunct/>
        <w:topLinePunct w:val="0"/>
        <w:autoSpaceDE/>
        <w:autoSpaceDN/>
        <w:bidi w:val="0"/>
        <w:adjustRightInd/>
        <w:snapToGrid/>
        <w:spacing w:line="570" w:lineRule="exact"/>
        <w:ind w:firstLine="560"/>
        <w:textAlignment w:val="auto"/>
        <w:rPr>
          <w:rFonts w:hint="eastAsia"/>
          <w:color w:val="auto"/>
          <w:highlight w:val="none"/>
          <w:lang w:eastAsia="zh-CN"/>
        </w:rPr>
      </w:pPr>
      <w:r>
        <w:rPr>
          <w:rFonts w:hint="eastAsia" w:ascii="宋体" w:hAnsi="宋体" w:eastAsia="仿宋_GB2312" w:cs="宋体"/>
          <w:color w:val="auto"/>
          <w:kern w:val="0"/>
          <w:sz w:val="28"/>
          <w:szCs w:val="28"/>
          <w:highlight w:val="none"/>
          <w:lang w:val="en-US" w:eastAsia="zh-CN" w:bidi="ar"/>
        </w:rPr>
        <w:t>我</w:t>
      </w:r>
      <w:r>
        <w:rPr>
          <w:rFonts w:hint="eastAsia" w:ascii="宋体" w:hAnsi="宋体" w:cs="宋体"/>
          <w:color w:val="auto"/>
          <w:kern w:val="0"/>
          <w:sz w:val="28"/>
          <w:szCs w:val="28"/>
          <w:highlight w:val="none"/>
          <w:lang w:val="en-US" w:eastAsia="zh-CN" w:bidi="ar"/>
        </w:rPr>
        <w:t>单位</w:t>
      </w:r>
      <w:r>
        <w:rPr>
          <w:rFonts w:hint="eastAsia" w:ascii="宋体" w:hAnsi="宋体" w:eastAsia="仿宋_GB2312" w:cs="宋体"/>
          <w:color w:val="auto"/>
          <w:kern w:val="0"/>
          <w:sz w:val="28"/>
          <w:szCs w:val="28"/>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8"/>
          <w:highlight w:val="none"/>
          <w:lang w:val="en-US" w:eastAsia="zh-CN" w:bidi="ar"/>
        </w:rPr>
        <w:t>了</w:t>
      </w:r>
      <w:r>
        <w:rPr>
          <w:rFonts w:hint="eastAsia" w:ascii="宋体" w:hAnsi="宋体" w:eastAsia="仿宋_GB2312" w:cs="宋体"/>
          <w:color w:val="auto"/>
          <w:kern w:val="0"/>
          <w:sz w:val="28"/>
          <w:szCs w:val="28"/>
          <w:highlight w:val="none"/>
          <w:lang w:val="en-US" w:eastAsia="zh-CN" w:bidi="ar"/>
        </w:rPr>
        <w:t>切实可行的实施计划、管理办法</w:t>
      </w:r>
      <w:r>
        <w:rPr>
          <w:rFonts w:hint="eastAsia" w:ascii="宋体" w:hAnsi="宋体" w:cs="宋体"/>
          <w:color w:val="auto"/>
          <w:kern w:val="0"/>
          <w:sz w:val="28"/>
          <w:szCs w:val="28"/>
          <w:highlight w:val="none"/>
          <w:lang w:val="en-US" w:eastAsia="zh-CN" w:bidi="ar"/>
        </w:rPr>
        <w:t>，</w:t>
      </w:r>
      <w:r>
        <w:rPr>
          <w:rFonts w:hint="eastAsia" w:ascii="仿宋_GB2312" w:hAnsi="仿宋" w:eastAsia="仿宋_GB2312" w:cs="仿宋"/>
          <w:color w:val="auto"/>
          <w:kern w:val="2"/>
          <w:sz w:val="28"/>
          <w:szCs w:val="28"/>
          <w:highlight w:val="none"/>
          <w:lang w:val="en-US" w:eastAsia="zh-CN" w:bidi="ar-SA"/>
        </w:rPr>
        <w:t>通过县退役局对优抚对象实名制台账进行推送，</w:t>
      </w:r>
      <w:r>
        <w:rPr>
          <w:rFonts w:hint="eastAsia" w:ascii="仿宋_GB2312" w:hAnsi="仿宋" w:eastAsia="仿宋_GB2312" w:cs="仿宋"/>
          <w:color w:val="auto"/>
          <w:sz w:val="28"/>
          <w:szCs w:val="28"/>
          <w:highlight w:val="none"/>
          <w:lang w:val="en-US" w:eastAsia="zh-CN"/>
        </w:rPr>
        <w:t>乡镇退役军人服务站核查上报</w:t>
      </w:r>
      <w:r>
        <w:rPr>
          <w:rFonts w:hint="default" w:ascii="仿宋_GB2312" w:hAnsi="仿宋" w:eastAsia="仿宋_GB2312" w:cs="仿宋"/>
          <w:color w:val="auto"/>
          <w:sz w:val="28"/>
          <w:szCs w:val="28"/>
          <w:highlight w:val="none"/>
          <w:lang w:val="en-US" w:eastAsia="zh-CN"/>
        </w:rPr>
        <w:t>，</w:t>
      </w:r>
      <w:r>
        <w:rPr>
          <w:rFonts w:hint="eastAsia" w:ascii="仿宋_GB2312" w:hAnsi="仿宋" w:eastAsia="仿宋_GB2312" w:cs="仿宋"/>
          <w:color w:val="auto"/>
          <w:sz w:val="28"/>
          <w:szCs w:val="28"/>
          <w:highlight w:val="none"/>
          <w:lang w:val="en-US" w:eastAsia="zh-CN"/>
        </w:rPr>
        <w:t>县退役局复核、抽查、汇总。县服务中心做好优抚对象来访接访工作，乡镇、村社区退役军人服务站工作人员入户讲解政策，发放享受待遇明白卡，告知优抚对象</w:t>
      </w:r>
      <w:r>
        <w:rPr>
          <w:rFonts w:hint="eastAsia" w:ascii="仿宋_GB2312" w:hAnsi="仿宋_GB2312" w:eastAsia="仿宋_GB2312" w:cs="仿宋_GB2312"/>
          <w:color w:val="auto"/>
          <w:sz w:val="28"/>
          <w:szCs w:val="28"/>
          <w:highlight w:val="none"/>
          <w:lang w:val="en-US" w:eastAsia="zh-CN"/>
        </w:rPr>
        <w:t>不要随意更换“一卡通”、电话号，确实需要更换的，及时上报更新，避免延误资金发放。</w:t>
      </w:r>
    </w:p>
    <w:p>
      <w:pPr>
        <w:pStyle w:val="4"/>
        <w:pageBreakBefore w:val="0"/>
        <w:numPr>
          <w:ilvl w:val="0"/>
          <w:numId w:val="0"/>
        </w:numPr>
        <w:kinsoku/>
        <w:wordWrap/>
        <w:topLinePunct w:val="0"/>
        <w:autoSpaceDE/>
        <w:autoSpaceDN/>
        <w:bidi w:val="0"/>
        <w:spacing w:line="570" w:lineRule="exact"/>
        <w:ind w:left="560" w:leftChars="0"/>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lang w:val="en-US" w:eastAsia="zh-CN"/>
        </w:rPr>
        <w:t>二</w:t>
      </w:r>
      <w:r>
        <w:rPr>
          <w:rFonts w:hint="eastAsia" w:ascii="楷体_GB2312" w:hAnsi="楷体_GB2312" w:eastAsia="楷体_GB2312" w:cs="楷体_GB2312"/>
          <w:color w:val="auto"/>
          <w:highlight w:val="none"/>
          <w:lang w:eastAsia="zh-CN"/>
        </w:rPr>
        <w:t>）</w:t>
      </w:r>
      <w:r>
        <w:rPr>
          <w:rFonts w:hint="eastAsia" w:ascii="楷体_GB2312" w:hAnsi="楷体_GB2312" w:eastAsia="楷体_GB2312" w:cs="楷体_GB2312"/>
          <w:color w:val="auto"/>
          <w:highlight w:val="none"/>
        </w:rPr>
        <w:t>存在的问题及原因分析</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优抚政策的落实还有差距。重点优抚对象抚恤补助自然增长机制还需要进一步落实，随着经济发展、物价上涨，老百姓的生活水平越来越高，对于依靠抚恤补助作为主要生活来源的重点优抚对象来说，还需进一步加大抚恤补助标准，在烈属就业、住房、重大疾病等方面还需进一步明确相应的方案措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县乡村退役军人服务中心（站）人员业务能力、服务能力还需要提高。部分县乡村社区退役军人服务站工作人员政策把握不够精准，业务培训工作还需加强。县乡村社区服务中心（站）在服务保障、优待抚恤优待工作方面做了很多工作和有益的探索，但是信息报送的数量、质量和时效性还有差距，总结提炼能力还需要加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3、由于优抚对象补助经费来源有中央资金、自治区资金等多批次预算，绩效目标设置时按照资金来源分别设置绩效目标表，导致难以全面反映优抚对象补助支出情况。</w:t>
      </w:r>
    </w:p>
    <w:p>
      <w:pPr>
        <w:pStyle w:val="3"/>
        <w:pageBreakBefore w:val="0"/>
        <w:kinsoku/>
        <w:wordWrap/>
        <w:topLinePunct w:val="0"/>
        <w:autoSpaceDE/>
        <w:autoSpaceDN/>
        <w:bidi w:val="0"/>
        <w:spacing w:line="570" w:lineRule="exact"/>
        <w:ind w:firstLine="640"/>
        <w:textAlignment w:val="auto"/>
        <w:rPr>
          <w:color w:val="auto"/>
          <w:highlight w:val="none"/>
        </w:rPr>
      </w:pPr>
      <w:r>
        <w:rPr>
          <w:rFonts w:hint="eastAsia"/>
          <w:color w:val="auto"/>
          <w:highlight w:val="none"/>
          <w:lang w:eastAsia="zh-CN"/>
        </w:rPr>
        <w:t>七</w:t>
      </w:r>
      <w:r>
        <w:rPr>
          <w:rFonts w:hint="eastAsia"/>
          <w:color w:val="auto"/>
          <w:highlight w:val="none"/>
        </w:rPr>
        <w:t>、有关建议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1、建议将资金来源不同，但资金用途一致、受益对象一致的项目进行合并，编制1个绩效目标，对当年同一项目的追加资金通过绩效目标调整功能进行调整，以达到全面反映对项目全过程的目标。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加强基层基础工作。强化基础建设服务保障，提升队伍素质，突出政治引领，筑牢优抚对象思想防线，强化常态化联系制度，夯实工作根基，促进基层建设过硬、基础工作过硬、基本能力过硬，为退役军人及其他优抚对象工作长远发展奠定基础。</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exact"/>
        <w:ind w:left="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进一步健全完善优抚政策。一方面，积极向上争取政策、资金支持，认真贯彻落实各项优待抚恤政策，加强责任落实。另一方面，通过健全优抚保障体制机制，促进物质保障与精神抚慰、行政管理与人性化服务，依靠政府力量与挖掘社会资源平衡发展等一系列措施，加快推进英烈保障水平向更高层次发展。</w:t>
      </w:r>
    </w:p>
    <w:p>
      <w:pPr>
        <w:pStyle w:val="3"/>
        <w:pageBreakBefore w:val="0"/>
        <w:kinsoku/>
        <w:wordWrap/>
        <w:topLinePunct w:val="0"/>
        <w:autoSpaceDE/>
        <w:autoSpaceDN/>
        <w:bidi w:val="0"/>
        <w:spacing w:line="570" w:lineRule="exact"/>
        <w:ind w:firstLine="640"/>
        <w:textAlignment w:val="auto"/>
        <w:rPr>
          <w:color w:val="auto"/>
          <w:sz w:val="32"/>
          <w:szCs w:val="32"/>
          <w:highlight w:val="none"/>
        </w:rPr>
      </w:pPr>
      <w:r>
        <w:rPr>
          <w:rFonts w:hint="eastAsia"/>
          <w:color w:val="auto"/>
          <w:sz w:val="32"/>
          <w:szCs w:val="32"/>
          <w:highlight w:val="none"/>
          <w:lang w:eastAsia="zh-CN"/>
        </w:rPr>
        <w:t>八</w:t>
      </w:r>
      <w:r>
        <w:rPr>
          <w:rFonts w:hint="eastAsia"/>
          <w:color w:val="auto"/>
          <w:sz w:val="32"/>
          <w:szCs w:val="32"/>
          <w:highlight w:val="none"/>
        </w:rPr>
        <w:t>、其他需要说明的问题</w:t>
      </w:r>
    </w:p>
    <w:p>
      <w:pPr>
        <w:pageBreakBefore w:val="0"/>
        <w:kinsoku/>
        <w:wordWrap/>
        <w:topLinePunct w:val="0"/>
        <w:autoSpaceDE/>
        <w:autoSpaceDN/>
        <w:bidi w:val="0"/>
        <w:spacing w:line="570" w:lineRule="exact"/>
        <w:ind w:firstLine="544"/>
        <w:textAlignment w:val="auto"/>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pageBreakBefore w:val="0"/>
        <w:kinsoku/>
        <w:wordWrap/>
        <w:topLinePunct w:val="0"/>
        <w:autoSpaceDE/>
        <w:autoSpaceDN/>
        <w:bidi w:val="0"/>
        <w:spacing w:line="570" w:lineRule="exact"/>
        <w:ind w:firstLine="640"/>
        <w:textAlignment w:val="auto"/>
        <w:rPr>
          <w:color w:val="auto"/>
          <w:highlight w:val="none"/>
        </w:rPr>
      </w:pPr>
      <w:r>
        <w:rPr>
          <w:rFonts w:hint="eastAsia"/>
          <w:color w:val="auto"/>
          <w:highlight w:val="none"/>
          <w:lang w:eastAsia="zh-CN"/>
        </w:rPr>
        <w:t>九、</w:t>
      </w:r>
      <w:r>
        <w:rPr>
          <w:rFonts w:hint="eastAsia"/>
          <w:color w:val="auto"/>
          <w:highlight w:val="none"/>
        </w:rPr>
        <w:t>附表</w:t>
      </w:r>
    </w:p>
    <w:p>
      <w:pPr>
        <w:pageBreakBefore w:val="0"/>
        <w:kinsoku/>
        <w:wordWrap/>
        <w:topLinePunct w:val="0"/>
        <w:autoSpaceDE/>
        <w:autoSpaceDN/>
        <w:bidi w:val="0"/>
        <w:spacing w:line="570" w:lineRule="exact"/>
        <w:ind w:firstLine="56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附件1：项目绩效评价指标体系表和项目</w:t>
      </w:r>
      <w:r>
        <w:rPr>
          <w:rFonts w:hint="eastAsia" w:ascii="仿宋_GB2312" w:hAnsi="仿宋_GB2312" w:eastAsia="仿宋_GB2312" w:cs="仿宋_GB2312"/>
          <w:color w:val="auto"/>
          <w:highlight w:val="none"/>
          <w:lang w:val="en-US" w:eastAsia="zh-CN"/>
        </w:rPr>
        <w:t>综合得分</w:t>
      </w:r>
      <w:r>
        <w:rPr>
          <w:rFonts w:hint="eastAsia" w:ascii="仿宋_GB2312" w:hAnsi="仿宋_GB2312" w:eastAsia="仿宋_GB2312" w:cs="仿宋_GB2312"/>
          <w:color w:val="auto"/>
          <w:highlight w:val="none"/>
        </w:rPr>
        <w:t>表</w:t>
      </w:r>
    </w:p>
    <w:p>
      <w:pPr>
        <w:pageBreakBefore w:val="0"/>
        <w:kinsoku/>
        <w:wordWrap/>
        <w:topLinePunct w:val="0"/>
        <w:autoSpaceDE/>
        <w:autoSpaceDN/>
        <w:bidi w:val="0"/>
        <w:spacing w:line="570" w:lineRule="exact"/>
        <w:textAlignment w:val="auto"/>
        <w:rPr>
          <w:rFonts w:hint="default"/>
          <w:color w:val="auto"/>
          <w:highlight w:val="none"/>
          <w:lang w:val="en-US" w:eastAsia="zh-CN"/>
        </w:rPr>
      </w:pPr>
    </w:p>
    <w:p>
      <w:pPr>
        <w:pageBreakBefore w:val="0"/>
        <w:kinsoku/>
        <w:wordWrap/>
        <w:topLinePunct w:val="0"/>
        <w:autoSpaceDE/>
        <w:autoSpaceDN/>
        <w:bidi w:val="0"/>
        <w:spacing w:line="570" w:lineRule="exact"/>
        <w:textAlignment w:val="auto"/>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jYWMxZDczMmQzN2M2MTg5NGJkYzUzYjI0ZjVkMGUifQ=="/>
  </w:docVars>
  <w:rsids>
    <w:rsidRoot w:val="00000000"/>
    <w:rsid w:val="00D104A8"/>
    <w:rsid w:val="0BEC240A"/>
    <w:rsid w:val="129774A3"/>
    <w:rsid w:val="17B35DB7"/>
    <w:rsid w:val="19CF709C"/>
    <w:rsid w:val="298A6197"/>
    <w:rsid w:val="2A541B7C"/>
    <w:rsid w:val="2AF61758"/>
    <w:rsid w:val="2EF47A7B"/>
    <w:rsid w:val="329B0E37"/>
    <w:rsid w:val="349B22FF"/>
    <w:rsid w:val="35496A51"/>
    <w:rsid w:val="360F1920"/>
    <w:rsid w:val="39330366"/>
    <w:rsid w:val="3B972799"/>
    <w:rsid w:val="3D3F6017"/>
    <w:rsid w:val="3F3F3816"/>
    <w:rsid w:val="40DC2D46"/>
    <w:rsid w:val="4476700E"/>
    <w:rsid w:val="49E21746"/>
    <w:rsid w:val="4B372EB8"/>
    <w:rsid w:val="4B4E2A92"/>
    <w:rsid w:val="4B945D75"/>
    <w:rsid w:val="4EDD18FD"/>
    <w:rsid w:val="52B23907"/>
    <w:rsid w:val="52C55120"/>
    <w:rsid w:val="53381D82"/>
    <w:rsid w:val="53F8370C"/>
    <w:rsid w:val="571E0C6F"/>
    <w:rsid w:val="59D6612D"/>
    <w:rsid w:val="5D4F0619"/>
    <w:rsid w:val="5DA27C6B"/>
    <w:rsid w:val="67A774C3"/>
    <w:rsid w:val="6CE52742"/>
    <w:rsid w:val="6D4D6847"/>
    <w:rsid w:val="6E8B7C84"/>
    <w:rsid w:val="6F4F27B2"/>
    <w:rsid w:val="711E068D"/>
    <w:rsid w:val="777079EF"/>
    <w:rsid w:val="796E5CAB"/>
    <w:rsid w:val="7A2B73AA"/>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169</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2024-08-20T02:48:36Z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